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_GBK"/>
          <w:sz w:val="52"/>
          <w:szCs w:val="52"/>
        </w:rPr>
      </w:pPr>
    </w:p>
    <w:p>
      <w:pPr>
        <w:rPr>
          <w:rFonts w:eastAsia="方正小标宋_GBK"/>
          <w:sz w:val="52"/>
          <w:szCs w:val="52"/>
        </w:rPr>
      </w:pPr>
    </w:p>
    <w:p>
      <w:pPr>
        <w:rPr>
          <w:rFonts w:eastAsia="方正小标宋_GBK"/>
          <w:sz w:val="52"/>
          <w:szCs w:val="52"/>
        </w:rPr>
      </w:pPr>
    </w:p>
    <w:p>
      <w:pPr>
        <w:rPr>
          <w:rFonts w:eastAsia="方正小标宋_GBK"/>
          <w:sz w:val="52"/>
          <w:szCs w:val="52"/>
        </w:rPr>
      </w:pPr>
    </w:p>
    <w:p>
      <w:pPr>
        <w:rPr>
          <w:rFonts w:eastAsia="方正小标宋_GBK"/>
          <w:sz w:val="52"/>
          <w:szCs w:val="52"/>
        </w:rPr>
      </w:pPr>
    </w:p>
    <w:p>
      <w:pPr>
        <w:rPr>
          <w:rFonts w:eastAsia="方正小标宋_GBK"/>
          <w:sz w:val="52"/>
          <w:szCs w:val="52"/>
        </w:rPr>
      </w:pPr>
    </w:p>
    <w:p>
      <w:pPr>
        <w:rPr>
          <w:rFonts w:eastAsia="方正小标宋_GBK"/>
          <w:sz w:val="48"/>
          <w:szCs w:val="48"/>
        </w:rPr>
      </w:pPr>
      <w:r>
        <w:rPr>
          <w:rFonts w:hint="eastAsia" w:eastAsia="方正小标宋_GBK"/>
          <w:sz w:val="48"/>
          <w:szCs w:val="48"/>
        </w:rPr>
        <w:t xml:space="preserve">  江苏传媒学校</w:t>
      </w:r>
      <w:r>
        <w:rPr>
          <w:rFonts w:eastAsia="方正小标宋_GBK"/>
          <w:sz w:val="48"/>
          <w:szCs w:val="48"/>
        </w:rPr>
        <w:t>201</w:t>
      </w:r>
      <w:r>
        <w:rPr>
          <w:rFonts w:hint="eastAsia" w:eastAsia="方正小标宋_GBK"/>
          <w:sz w:val="48"/>
          <w:szCs w:val="48"/>
        </w:rPr>
        <w:t>8</w:t>
      </w:r>
      <w:r>
        <w:rPr>
          <w:rFonts w:eastAsia="方正小标宋_GBK"/>
          <w:sz w:val="48"/>
          <w:szCs w:val="48"/>
        </w:rPr>
        <w:t>年度部门决算公开</w:t>
      </w:r>
    </w:p>
    <w:p>
      <w:pPr>
        <w:rPr>
          <w:rFonts w:eastAsia="方正小标宋_GBK"/>
          <w:sz w:val="48"/>
          <w:szCs w:val="48"/>
        </w:rPr>
      </w:pPr>
    </w:p>
    <w:p>
      <w:pPr>
        <w:rPr>
          <w:rFonts w:eastAsia="方正小标宋_GBK"/>
          <w:sz w:val="48"/>
          <w:szCs w:val="48"/>
        </w:rPr>
      </w:pPr>
    </w:p>
    <w:p>
      <w:pPr>
        <w:rPr>
          <w:rFonts w:eastAsia="方正小标宋_GBK"/>
          <w:sz w:val="48"/>
          <w:szCs w:val="48"/>
        </w:rPr>
      </w:pPr>
    </w:p>
    <w:p>
      <w:pPr>
        <w:rPr>
          <w:rFonts w:eastAsia="方正小标宋_GBK"/>
          <w:sz w:val="48"/>
          <w:szCs w:val="48"/>
        </w:rPr>
      </w:pPr>
    </w:p>
    <w:p>
      <w:pPr>
        <w:rPr>
          <w:rFonts w:eastAsia="方正小标宋_GBK"/>
          <w:sz w:val="48"/>
          <w:szCs w:val="48"/>
        </w:rPr>
      </w:pPr>
    </w:p>
    <w:p>
      <w:pPr>
        <w:rPr>
          <w:rFonts w:eastAsia="方正小标宋_GBK"/>
          <w:sz w:val="48"/>
          <w:szCs w:val="48"/>
        </w:rPr>
      </w:pPr>
    </w:p>
    <w:p>
      <w:pPr>
        <w:rPr>
          <w:rFonts w:eastAsia="方正小标宋_GBK"/>
          <w:sz w:val="48"/>
          <w:szCs w:val="48"/>
        </w:rPr>
      </w:pPr>
    </w:p>
    <w:p>
      <w:pPr>
        <w:rPr>
          <w:rFonts w:eastAsia="方正小标宋_GBK"/>
          <w:sz w:val="48"/>
          <w:szCs w:val="48"/>
        </w:rPr>
      </w:pPr>
    </w:p>
    <w:p>
      <w:pPr>
        <w:rPr>
          <w:rFonts w:eastAsia="方正小标宋_GBK"/>
          <w:sz w:val="48"/>
          <w:szCs w:val="48"/>
        </w:rPr>
      </w:pPr>
    </w:p>
    <w:p>
      <w:pPr>
        <w:rPr>
          <w:rFonts w:eastAsia="方正小标宋_GBK"/>
          <w:sz w:val="48"/>
          <w:szCs w:val="48"/>
        </w:rPr>
      </w:pPr>
    </w:p>
    <w:p>
      <w:pPr>
        <w:spacing w:line="550" w:lineRule="exact"/>
        <w:jc w:val="center"/>
        <w:rPr>
          <w:rFonts w:eastAsia="方正小标宋_GBK"/>
          <w:sz w:val="44"/>
          <w:szCs w:val="44"/>
        </w:rPr>
      </w:pPr>
      <w:r>
        <w:rPr>
          <w:rFonts w:eastAsia="方正小标宋_GBK"/>
          <w:sz w:val="44"/>
          <w:szCs w:val="44"/>
        </w:rPr>
        <w:t>目  录</w:t>
      </w:r>
    </w:p>
    <w:p>
      <w:pPr>
        <w:spacing w:line="550" w:lineRule="exact"/>
        <w:jc w:val="center"/>
        <w:rPr>
          <w:rFonts w:eastAsia="方正小标宋_GBK"/>
          <w:sz w:val="44"/>
          <w:szCs w:val="44"/>
        </w:rPr>
      </w:pPr>
    </w:p>
    <w:p>
      <w:pPr>
        <w:spacing w:line="550" w:lineRule="exact"/>
        <w:rPr>
          <w:rFonts w:eastAsia="方正黑体_GBK"/>
          <w:sz w:val="24"/>
          <w:szCs w:val="24"/>
        </w:rPr>
      </w:pPr>
      <w:r>
        <w:rPr>
          <w:rFonts w:eastAsia="方正黑体_GBK"/>
          <w:sz w:val="24"/>
          <w:szCs w:val="24"/>
        </w:rPr>
        <w:t>第一部分 部门概况</w:t>
      </w:r>
    </w:p>
    <w:p>
      <w:pPr>
        <w:numPr>
          <w:ilvl w:val="0"/>
          <w:numId w:val="1"/>
        </w:numPr>
        <w:spacing w:line="550" w:lineRule="exact"/>
        <w:rPr>
          <w:sz w:val="24"/>
          <w:szCs w:val="24"/>
        </w:rPr>
      </w:pPr>
      <w:r>
        <w:rPr>
          <w:sz w:val="24"/>
          <w:szCs w:val="24"/>
        </w:rPr>
        <w:t>主要职能</w:t>
      </w:r>
    </w:p>
    <w:p>
      <w:pPr>
        <w:numPr>
          <w:ilvl w:val="0"/>
          <w:numId w:val="1"/>
        </w:numPr>
        <w:spacing w:line="550" w:lineRule="exact"/>
        <w:rPr>
          <w:sz w:val="24"/>
          <w:szCs w:val="24"/>
        </w:rPr>
      </w:pPr>
      <w:r>
        <w:rPr>
          <w:sz w:val="24"/>
          <w:szCs w:val="24"/>
        </w:rPr>
        <w:t>部门机构设置及决算单位构成情况</w:t>
      </w:r>
    </w:p>
    <w:p>
      <w:pPr>
        <w:numPr>
          <w:ilvl w:val="0"/>
          <w:numId w:val="1"/>
        </w:numPr>
        <w:spacing w:line="550" w:lineRule="exact"/>
        <w:rPr>
          <w:sz w:val="24"/>
          <w:szCs w:val="24"/>
        </w:rPr>
      </w:pPr>
      <w:r>
        <w:rPr>
          <w:sz w:val="24"/>
          <w:szCs w:val="24"/>
        </w:rPr>
        <w:t>2018年度主要工作完成情况</w:t>
      </w:r>
    </w:p>
    <w:p>
      <w:pPr>
        <w:spacing w:line="550" w:lineRule="exact"/>
        <w:rPr>
          <w:rFonts w:eastAsia="方正黑体_GBK"/>
          <w:sz w:val="24"/>
          <w:szCs w:val="24"/>
        </w:rPr>
      </w:pPr>
      <w:r>
        <w:rPr>
          <w:rFonts w:eastAsia="方正黑体_GBK"/>
          <w:sz w:val="24"/>
          <w:szCs w:val="24"/>
        </w:rPr>
        <w:t>第二部分 2018年度部门决算表</w:t>
      </w:r>
    </w:p>
    <w:p>
      <w:pPr>
        <w:numPr>
          <w:ilvl w:val="0"/>
          <w:numId w:val="2"/>
        </w:numPr>
        <w:spacing w:line="550" w:lineRule="exact"/>
        <w:rPr>
          <w:sz w:val="24"/>
          <w:szCs w:val="24"/>
        </w:rPr>
      </w:pPr>
      <w:r>
        <w:rPr>
          <w:sz w:val="24"/>
          <w:szCs w:val="24"/>
        </w:rPr>
        <w:t>收入支出决算总表</w:t>
      </w:r>
    </w:p>
    <w:p>
      <w:pPr>
        <w:numPr>
          <w:ilvl w:val="0"/>
          <w:numId w:val="2"/>
        </w:numPr>
        <w:spacing w:line="550" w:lineRule="exact"/>
        <w:rPr>
          <w:sz w:val="24"/>
          <w:szCs w:val="24"/>
        </w:rPr>
      </w:pPr>
      <w:r>
        <w:rPr>
          <w:sz w:val="24"/>
          <w:szCs w:val="24"/>
        </w:rPr>
        <w:t>收入决算表</w:t>
      </w:r>
    </w:p>
    <w:p>
      <w:pPr>
        <w:numPr>
          <w:ilvl w:val="0"/>
          <w:numId w:val="2"/>
        </w:numPr>
        <w:spacing w:line="550" w:lineRule="exact"/>
        <w:rPr>
          <w:sz w:val="24"/>
          <w:szCs w:val="24"/>
        </w:rPr>
      </w:pPr>
      <w:r>
        <w:rPr>
          <w:sz w:val="24"/>
          <w:szCs w:val="24"/>
        </w:rPr>
        <w:t>支出决算表</w:t>
      </w:r>
    </w:p>
    <w:p>
      <w:pPr>
        <w:numPr>
          <w:ilvl w:val="0"/>
          <w:numId w:val="2"/>
        </w:numPr>
        <w:spacing w:line="550" w:lineRule="exact"/>
        <w:rPr>
          <w:sz w:val="24"/>
          <w:szCs w:val="24"/>
        </w:rPr>
      </w:pPr>
      <w:r>
        <w:rPr>
          <w:sz w:val="24"/>
          <w:szCs w:val="24"/>
        </w:rPr>
        <w:t>财政拨款收入支出决算总表</w:t>
      </w:r>
    </w:p>
    <w:p>
      <w:pPr>
        <w:numPr>
          <w:ilvl w:val="0"/>
          <w:numId w:val="2"/>
        </w:numPr>
        <w:spacing w:line="550" w:lineRule="exact"/>
        <w:rPr>
          <w:sz w:val="24"/>
          <w:szCs w:val="24"/>
        </w:rPr>
      </w:pPr>
      <w:r>
        <w:rPr>
          <w:sz w:val="24"/>
          <w:szCs w:val="24"/>
        </w:rPr>
        <w:t>财政拨款支出决算表</w:t>
      </w:r>
    </w:p>
    <w:p>
      <w:pPr>
        <w:numPr>
          <w:ilvl w:val="0"/>
          <w:numId w:val="2"/>
        </w:numPr>
        <w:spacing w:line="550" w:lineRule="exact"/>
        <w:rPr>
          <w:sz w:val="24"/>
          <w:szCs w:val="24"/>
        </w:rPr>
      </w:pPr>
      <w:r>
        <w:rPr>
          <w:sz w:val="24"/>
          <w:szCs w:val="24"/>
        </w:rPr>
        <w:t>财政拨款基本支出决算表</w:t>
      </w:r>
    </w:p>
    <w:p>
      <w:pPr>
        <w:numPr>
          <w:ilvl w:val="0"/>
          <w:numId w:val="2"/>
        </w:numPr>
        <w:spacing w:line="550" w:lineRule="exact"/>
        <w:rPr>
          <w:sz w:val="24"/>
          <w:szCs w:val="24"/>
        </w:rPr>
      </w:pPr>
      <w:r>
        <w:rPr>
          <w:sz w:val="24"/>
          <w:szCs w:val="24"/>
        </w:rPr>
        <w:t>一般公共预算财政拨款支出决算表</w:t>
      </w:r>
    </w:p>
    <w:p>
      <w:pPr>
        <w:numPr>
          <w:ilvl w:val="0"/>
          <w:numId w:val="2"/>
        </w:numPr>
        <w:spacing w:line="550" w:lineRule="exact"/>
        <w:rPr>
          <w:sz w:val="24"/>
          <w:szCs w:val="24"/>
        </w:rPr>
      </w:pPr>
      <w:r>
        <w:rPr>
          <w:sz w:val="24"/>
          <w:szCs w:val="24"/>
        </w:rPr>
        <w:t>一般公共预算财政拨款基本支出决算表</w:t>
      </w:r>
    </w:p>
    <w:p>
      <w:pPr>
        <w:numPr>
          <w:ilvl w:val="0"/>
          <w:numId w:val="2"/>
        </w:numPr>
        <w:spacing w:line="550" w:lineRule="exact"/>
        <w:rPr>
          <w:sz w:val="24"/>
          <w:szCs w:val="24"/>
        </w:rPr>
      </w:pPr>
      <w:r>
        <w:rPr>
          <w:sz w:val="24"/>
          <w:szCs w:val="24"/>
        </w:rPr>
        <w:t>一般公共预算财政拨款“三公”经费、会议费、培训费支出决算表</w:t>
      </w:r>
    </w:p>
    <w:p>
      <w:pPr>
        <w:numPr>
          <w:ilvl w:val="0"/>
          <w:numId w:val="2"/>
        </w:numPr>
        <w:spacing w:line="550" w:lineRule="exact"/>
        <w:rPr>
          <w:sz w:val="24"/>
          <w:szCs w:val="24"/>
        </w:rPr>
      </w:pPr>
      <w:r>
        <w:rPr>
          <w:sz w:val="24"/>
          <w:szCs w:val="24"/>
        </w:rPr>
        <w:t>政府性基金预算财政拨款收入支出决算表</w:t>
      </w:r>
    </w:p>
    <w:p>
      <w:pPr>
        <w:numPr>
          <w:ilvl w:val="0"/>
          <w:numId w:val="2"/>
        </w:numPr>
        <w:spacing w:line="550" w:lineRule="exact"/>
        <w:rPr>
          <w:sz w:val="24"/>
          <w:szCs w:val="24"/>
        </w:rPr>
      </w:pPr>
      <w:r>
        <w:rPr>
          <w:sz w:val="24"/>
          <w:szCs w:val="24"/>
        </w:rPr>
        <w:t>机关运行经费支出决算表</w:t>
      </w:r>
    </w:p>
    <w:p>
      <w:pPr>
        <w:numPr>
          <w:ilvl w:val="0"/>
          <w:numId w:val="2"/>
        </w:numPr>
        <w:spacing w:line="550" w:lineRule="exact"/>
        <w:rPr>
          <w:sz w:val="24"/>
          <w:szCs w:val="24"/>
        </w:rPr>
      </w:pPr>
      <w:r>
        <w:rPr>
          <w:sz w:val="24"/>
          <w:szCs w:val="24"/>
        </w:rPr>
        <w:t>政府采购支出决算表</w:t>
      </w:r>
    </w:p>
    <w:p>
      <w:pPr>
        <w:spacing w:line="550" w:lineRule="exact"/>
        <w:rPr>
          <w:rFonts w:eastAsia="方正黑体_GBK"/>
          <w:sz w:val="24"/>
          <w:szCs w:val="24"/>
        </w:rPr>
      </w:pPr>
      <w:r>
        <w:rPr>
          <w:rFonts w:eastAsia="方正黑体_GBK"/>
          <w:sz w:val="24"/>
          <w:szCs w:val="24"/>
        </w:rPr>
        <w:t>第三部分 2018年度部门决算情况说明</w:t>
      </w:r>
    </w:p>
    <w:p>
      <w:pPr>
        <w:spacing w:line="550" w:lineRule="exact"/>
        <w:rPr>
          <w:rFonts w:eastAsia="方正黑体_GBK"/>
          <w:sz w:val="24"/>
          <w:szCs w:val="24"/>
        </w:rPr>
      </w:pPr>
      <w:r>
        <w:rPr>
          <w:rFonts w:eastAsia="方正黑体_GBK"/>
          <w:sz w:val="24"/>
          <w:szCs w:val="24"/>
        </w:rPr>
        <w:t>第四部分 名词解释</w:t>
      </w:r>
    </w:p>
    <w:p>
      <w:pPr>
        <w:spacing w:before="100" w:beforeAutospacing="1" w:after="100" w:afterAutospacing="1" w:line="550" w:lineRule="exact"/>
        <w:jc w:val="center"/>
        <w:rPr>
          <w:rFonts w:eastAsia="方正小标宋_GBK"/>
          <w:sz w:val="36"/>
          <w:szCs w:val="36"/>
        </w:rPr>
      </w:pPr>
      <w:bookmarkStart w:id="6" w:name="_GoBack"/>
      <w:bookmarkEnd w:id="6"/>
      <w:r>
        <w:rPr>
          <w:rFonts w:eastAsia="方正小标宋_GBK"/>
          <w:sz w:val="36"/>
          <w:szCs w:val="36"/>
        </w:rPr>
        <w:br w:type="page"/>
      </w:r>
      <w:r>
        <w:rPr>
          <w:rFonts w:eastAsia="方正小标宋_GBK"/>
          <w:sz w:val="36"/>
          <w:szCs w:val="36"/>
        </w:rPr>
        <w:t>第一部分　部门概况</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一、部门主要职能</w:t>
      </w:r>
    </w:p>
    <w:p>
      <w:pPr>
        <w:spacing w:line="550" w:lineRule="exact"/>
        <w:ind w:firstLine="480" w:firstLineChars="200"/>
        <w:rPr>
          <w:rFonts w:ascii="仿宋_GB2312" w:hAnsi="仿宋" w:eastAsia="仿宋_GB2312"/>
          <w:sz w:val="24"/>
          <w:szCs w:val="24"/>
        </w:rPr>
      </w:pPr>
      <w:r>
        <w:rPr>
          <w:rFonts w:hint="eastAsia" w:ascii="仿宋_GB2312" w:hAnsi="仿宋" w:eastAsia="仿宋_GB2312"/>
          <w:sz w:val="24"/>
          <w:szCs w:val="24"/>
        </w:rPr>
        <w:t>江苏传媒学校是由江苏省广播电视总台(集团)主办的、全省唯一一所专门培养广播影视中、高等技能型人才的省属全日制普通中等专业学校，系江苏联合职业技术学院办学点。学校开设的五年制高职专业有：播音与主持、广播影视节目制作、摄影摄像技术、影视动画。</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二、部门机构设置及决算单位构成情况</w:t>
      </w:r>
    </w:p>
    <w:p>
      <w:pPr>
        <w:snapToGrid w:val="0"/>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学校设书记和校长各1名，副校长二名。下设综合部、后勤管理部、学生工作部、教学工作部、招生就业与对外合作部、成教部。</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三、2018年度主要工作完成情况</w:t>
      </w:r>
    </w:p>
    <w:p>
      <w:pPr>
        <w:snapToGrid w:val="0"/>
        <w:spacing w:line="520" w:lineRule="exact"/>
        <w:ind w:firstLine="480" w:firstLineChars="200"/>
        <w:rPr>
          <w:rFonts w:ascii="仿宋_GB2312" w:hAnsi="仿宋" w:eastAsia="仿宋_GB2312"/>
          <w:sz w:val="24"/>
          <w:szCs w:val="24"/>
        </w:rPr>
      </w:pPr>
      <w:r>
        <w:rPr>
          <w:rFonts w:hint="eastAsia" w:ascii="仿宋_GB2312" w:hAnsi="仿宋" w:eastAsia="仿宋_GB2312"/>
          <w:sz w:val="24"/>
          <w:szCs w:val="24"/>
        </w:rPr>
        <w:t>1、以五年制高等职业教育为主体，以中国传媒大学成人学历教育及行业、社会培训为双翼，形成多层次、多学历教育和多形式相互衔接的多元化办学格局。2、办学规模依据市场大小适度，专业设置面向市场彰显特色，办学质量服务市场争创一流，成人教育和行业、社会培训服务社会做大做强，努力把我校建设成为全省广播影视高素质技能型人才的培养基地、全省广播影视行业培训和继续教育基地和有一定影响的影视产品生产制作单位。3、依托总台优势，提升学校的办学能力，同时积极加强学校硬件条件建设。</w:t>
      </w:r>
    </w:p>
    <w:p>
      <w:pPr>
        <w:spacing w:line="550" w:lineRule="exact"/>
        <w:ind w:firstLine="480" w:firstLineChars="200"/>
        <w:rPr>
          <w:rFonts w:ascii="方正黑体_GBK" w:eastAsia="方正黑体_GBK"/>
          <w:sz w:val="24"/>
          <w:szCs w:val="24"/>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
    </w:p>
    <w:p>
      <w:pPr>
        <w:spacing w:line="550" w:lineRule="exact"/>
        <w:ind w:firstLine="420" w:firstLineChars="200"/>
        <w:rPr>
          <w:rFonts w:eastAsia="仿宋_GB2312"/>
          <w:szCs w:val="32"/>
        </w:rPr>
      </w:pPr>
    </w:p>
    <w:p>
      <w:pPr>
        <w:spacing w:before="100" w:beforeAutospacing="1" w:after="100" w:afterAutospacing="1" w:line="550" w:lineRule="exact"/>
        <w:jc w:val="center"/>
        <w:rPr>
          <w:rFonts w:eastAsia="方正小标宋_GBK"/>
          <w:sz w:val="36"/>
          <w:szCs w:val="36"/>
        </w:rPr>
      </w:pPr>
      <w:r>
        <w:rPr>
          <w:rFonts w:eastAsia="方正小标宋_GBK"/>
          <w:sz w:val="36"/>
          <w:szCs w:val="36"/>
        </w:rPr>
        <w:t>第二部分　</w:t>
      </w:r>
      <w:r>
        <w:rPr>
          <w:rFonts w:hint="eastAsia" w:eastAsia="方正小标宋_GBK"/>
          <w:sz w:val="36"/>
          <w:szCs w:val="36"/>
          <w:u w:val="single"/>
        </w:rPr>
        <w:t>江苏传媒学校</w:t>
      </w:r>
      <w:r>
        <w:rPr>
          <w:rFonts w:eastAsia="方正小标宋_GBK"/>
          <w:sz w:val="36"/>
          <w:szCs w:val="36"/>
        </w:rPr>
        <w:t>2018年度部门决算表</w:t>
      </w:r>
    </w:p>
    <w:tbl>
      <w:tblPr>
        <w:tblStyle w:val="5"/>
        <w:tblW w:w="11273" w:type="dxa"/>
        <w:jc w:val="center"/>
        <w:tblInd w:w="0" w:type="dxa"/>
        <w:tblLayout w:type="fixed"/>
        <w:tblCellMar>
          <w:top w:w="0" w:type="dxa"/>
          <w:left w:w="108" w:type="dxa"/>
          <w:bottom w:w="0" w:type="dxa"/>
          <w:right w:w="108" w:type="dxa"/>
        </w:tblCellMar>
      </w:tblPr>
      <w:tblGrid>
        <w:gridCol w:w="3416"/>
        <w:gridCol w:w="875"/>
        <w:gridCol w:w="2816"/>
        <w:gridCol w:w="875"/>
        <w:gridCol w:w="2416"/>
        <w:gridCol w:w="875"/>
      </w:tblGrid>
      <w:tr>
        <w:tblPrEx>
          <w:tblLayout w:type="fixed"/>
          <w:tblCellMar>
            <w:top w:w="0" w:type="dxa"/>
            <w:left w:w="108" w:type="dxa"/>
            <w:bottom w:w="0" w:type="dxa"/>
            <w:right w:w="108" w:type="dxa"/>
          </w:tblCellMar>
        </w:tblPrEx>
        <w:trPr>
          <w:trHeight w:val="960" w:hRule="atLeast"/>
          <w:jc w:val="center"/>
        </w:trPr>
        <w:tc>
          <w:tcPr>
            <w:tcW w:w="11273" w:type="dxa"/>
            <w:gridSpan w:val="6"/>
            <w:tcBorders>
              <w:top w:val="nil"/>
              <w:left w:val="nil"/>
              <w:bottom w:val="nil"/>
              <w:right w:val="nil"/>
            </w:tcBorders>
            <w:shd w:val="clear" w:color="auto" w:fill="auto"/>
            <w:noWrap/>
            <w:vAlign w:val="center"/>
          </w:tcPr>
          <w:p>
            <w:pPr>
              <w:widowControl/>
              <w:jc w:val="center"/>
              <w:rPr>
                <w:rFonts w:eastAsia="方正小标宋_GBK"/>
                <w:sz w:val="36"/>
                <w:szCs w:val="36"/>
              </w:rPr>
            </w:pPr>
            <w:r>
              <w:rPr>
                <w:rFonts w:eastAsia="方正小标宋_GBK"/>
                <w:sz w:val="36"/>
                <w:szCs w:val="36"/>
              </w:rPr>
              <w:t>收入支出决算总表</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nil"/>
              <w:bottom w:val="nil"/>
              <w:right w:val="nil"/>
            </w:tcBorders>
            <w:shd w:val="clear" w:color="auto" w:fill="auto"/>
            <w:noWrap/>
            <w:vAlign w:val="center"/>
          </w:tcPr>
          <w:p>
            <w:pPr>
              <w:widowControl/>
              <w:jc w:val="center"/>
              <w:rPr>
                <w:rFonts w:eastAsia="方正小标宋_GBK"/>
                <w:sz w:val="36"/>
                <w:szCs w:val="36"/>
              </w:rPr>
            </w:pPr>
          </w:p>
        </w:tc>
        <w:tc>
          <w:tcPr>
            <w:tcW w:w="875" w:type="dxa"/>
            <w:tcBorders>
              <w:top w:val="nil"/>
              <w:left w:val="nil"/>
              <w:bottom w:val="nil"/>
              <w:right w:val="nil"/>
            </w:tcBorders>
            <w:shd w:val="clear" w:color="auto" w:fill="auto"/>
            <w:noWrap/>
            <w:vAlign w:val="center"/>
          </w:tcPr>
          <w:p>
            <w:pPr>
              <w:widowControl/>
              <w:jc w:val="left"/>
              <w:rPr>
                <w:rFonts w:eastAsia="Times New Roman"/>
                <w:sz w:val="20"/>
              </w:rPr>
            </w:pPr>
          </w:p>
        </w:tc>
        <w:tc>
          <w:tcPr>
            <w:tcW w:w="2816" w:type="dxa"/>
            <w:tcBorders>
              <w:top w:val="nil"/>
              <w:left w:val="nil"/>
              <w:bottom w:val="nil"/>
              <w:right w:val="nil"/>
            </w:tcBorders>
            <w:shd w:val="clear" w:color="auto" w:fill="auto"/>
            <w:noWrap/>
            <w:vAlign w:val="center"/>
          </w:tcPr>
          <w:p>
            <w:pPr>
              <w:widowControl/>
              <w:jc w:val="left"/>
              <w:rPr>
                <w:rFonts w:eastAsia="Times New Roman"/>
                <w:sz w:val="20"/>
              </w:rPr>
            </w:pPr>
          </w:p>
        </w:tc>
        <w:tc>
          <w:tcPr>
            <w:tcW w:w="4166" w:type="dxa"/>
            <w:gridSpan w:val="3"/>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公开01表</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nil"/>
              <w:bottom w:val="nil"/>
              <w:right w:val="nil"/>
            </w:tcBorders>
            <w:shd w:val="clear" w:color="auto" w:fill="auto"/>
            <w:noWrap/>
            <w:vAlign w:val="center"/>
          </w:tcPr>
          <w:p>
            <w:pPr>
              <w:widowControl/>
              <w:jc w:val="left"/>
              <w:rPr>
                <w:rFonts w:eastAsia="宋体"/>
                <w:sz w:val="20"/>
              </w:rPr>
            </w:pPr>
            <w:r>
              <w:rPr>
                <w:rFonts w:eastAsia="宋体"/>
                <w:sz w:val="20"/>
              </w:rPr>
              <w:t>部门名称：</w:t>
            </w:r>
            <w:r>
              <w:rPr>
                <w:rFonts w:hint="eastAsia" w:eastAsia="宋体"/>
                <w:sz w:val="20"/>
              </w:rPr>
              <w:t>江苏传媒学校</w:t>
            </w:r>
          </w:p>
        </w:tc>
        <w:tc>
          <w:tcPr>
            <w:tcW w:w="875" w:type="dxa"/>
            <w:tcBorders>
              <w:top w:val="nil"/>
              <w:left w:val="nil"/>
              <w:bottom w:val="nil"/>
              <w:right w:val="nil"/>
            </w:tcBorders>
            <w:shd w:val="clear" w:color="auto" w:fill="auto"/>
            <w:noWrap/>
            <w:vAlign w:val="center"/>
          </w:tcPr>
          <w:p>
            <w:pPr>
              <w:widowControl/>
              <w:jc w:val="left"/>
              <w:rPr>
                <w:rFonts w:eastAsia="宋体"/>
                <w:sz w:val="20"/>
              </w:rPr>
            </w:pPr>
          </w:p>
        </w:tc>
        <w:tc>
          <w:tcPr>
            <w:tcW w:w="2816" w:type="dxa"/>
            <w:tcBorders>
              <w:top w:val="nil"/>
              <w:left w:val="nil"/>
              <w:bottom w:val="nil"/>
              <w:right w:val="nil"/>
            </w:tcBorders>
            <w:shd w:val="clear" w:color="auto" w:fill="auto"/>
            <w:noWrap/>
            <w:vAlign w:val="center"/>
          </w:tcPr>
          <w:p>
            <w:pPr>
              <w:widowControl/>
              <w:jc w:val="left"/>
              <w:rPr>
                <w:rFonts w:eastAsia="Times New Roman"/>
                <w:sz w:val="20"/>
              </w:rPr>
            </w:pPr>
          </w:p>
        </w:tc>
        <w:tc>
          <w:tcPr>
            <w:tcW w:w="4166" w:type="dxa"/>
            <w:gridSpan w:val="3"/>
            <w:tcBorders>
              <w:top w:val="nil"/>
              <w:left w:val="nil"/>
              <w:bottom w:val="single" w:color="auto" w:sz="4" w:space="0"/>
              <w:right w:val="nil"/>
            </w:tcBorders>
            <w:shd w:val="clear" w:color="auto" w:fill="auto"/>
            <w:noWrap/>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42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收入</w:t>
            </w:r>
          </w:p>
        </w:tc>
        <w:tc>
          <w:tcPr>
            <w:tcW w:w="698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支出</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项目</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决算数</w:t>
            </w:r>
          </w:p>
        </w:tc>
        <w:tc>
          <w:tcPr>
            <w:tcW w:w="28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按功能分类</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决算数</w:t>
            </w:r>
          </w:p>
        </w:tc>
        <w:tc>
          <w:tcPr>
            <w:tcW w:w="24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按支出性质</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决算数</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一、财政拨款收入</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1637.68</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一、一般公共服务支出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一、基本支出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1995.55</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其中：政府性基金预算财政拨款</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二、外交支出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二、项目支出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187.55</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二、上级补助收入</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三、国防支出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三、上缴上级支出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三、事业收入</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279.9</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四、公共安全支出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四、经营支出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四、经营收入</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五、教育支出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1618.86</w:t>
            </w: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五、对附属单位补助支出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五、附属单位上缴收入</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六、科学技术支出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六、其他收入</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336.71</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七、文化体育与传媒支出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八、社会保障和就业支出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264.88</w:t>
            </w: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九、医疗卫生与计划生育支出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十、节能环保支出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十一、城乡社区支出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十二、农林水支出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十三、交通运输支出</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十四、资源勘探信息等支出</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十五、商业服务业等支出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十六、金融支出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十七、援助其他地区支出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十八、国土海洋气象等支出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十九、住房保障支出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二十、粮油物资储备支出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二十一、其他支出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二十二、债务还本支出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二十三、债务付息支出</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本年收入合计</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2254.29</w:t>
            </w:r>
            <w:r>
              <w:rPr>
                <w:rFonts w:eastAsia="宋体"/>
                <w:sz w:val="20"/>
              </w:rPr>
              <w:t>　</w:t>
            </w:r>
          </w:p>
        </w:tc>
        <w:tc>
          <w:tcPr>
            <w:tcW w:w="610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本年支出合计</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2183.1</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xml:space="preserve">    用事业基金弥补收支差额</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47.64</w:t>
            </w:r>
            <w:r>
              <w:rPr>
                <w:rFonts w:eastAsia="宋体"/>
                <w:sz w:val="20"/>
              </w:rPr>
              <w:t>　</w:t>
            </w:r>
          </w:p>
        </w:tc>
        <w:tc>
          <w:tcPr>
            <w:tcW w:w="610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xml:space="preserve">    结余分配</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108.35</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xml:space="preserve">    年初结转和结余</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610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xml:space="preserve">    年末结转和结余</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10.48</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610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3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总计</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2301.93</w:t>
            </w:r>
            <w:r>
              <w:rPr>
                <w:rFonts w:eastAsia="宋体"/>
                <w:sz w:val="20"/>
              </w:rPr>
              <w:t>　</w:t>
            </w:r>
          </w:p>
        </w:tc>
        <w:tc>
          <w:tcPr>
            <w:tcW w:w="610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总计</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2301.93</w:t>
            </w:r>
            <w:r>
              <w:rPr>
                <w:rFonts w:eastAsia="宋体"/>
                <w:sz w:val="20"/>
              </w:rPr>
              <w:t>　</w:t>
            </w:r>
          </w:p>
        </w:tc>
      </w:tr>
    </w:tbl>
    <w:p/>
    <w:p/>
    <w:p/>
    <w:p/>
    <w:p/>
    <w:p/>
    <w:p/>
    <w:tbl>
      <w:tblPr>
        <w:tblStyle w:val="5"/>
        <w:tblW w:w="14174" w:type="dxa"/>
        <w:jc w:val="center"/>
        <w:tblInd w:w="0" w:type="dxa"/>
        <w:tblLayout w:type="fixed"/>
        <w:tblCellMar>
          <w:top w:w="0" w:type="dxa"/>
          <w:left w:w="108" w:type="dxa"/>
          <w:bottom w:w="0" w:type="dxa"/>
          <w:right w:w="108" w:type="dxa"/>
        </w:tblCellMar>
      </w:tblPr>
      <w:tblGrid>
        <w:gridCol w:w="1651"/>
        <w:gridCol w:w="3616"/>
        <w:gridCol w:w="1315"/>
        <w:gridCol w:w="1315"/>
        <w:gridCol w:w="1230"/>
        <w:gridCol w:w="971"/>
        <w:gridCol w:w="904"/>
        <w:gridCol w:w="1556"/>
        <w:gridCol w:w="1616"/>
      </w:tblGrid>
      <w:tr>
        <w:tblPrEx>
          <w:tblLayout w:type="fixed"/>
          <w:tblCellMar>
            <w:top w:w="0" w:type="dxa"/>
            <w:left w:w="108" w:type="dxa"/>
            <w:bottom w:w="0" w:type="dxa"/>
            <w:right w:w="108" w:type="dxa"/>
          </w:tblCellMar>
        </w:tblPrEx>
        <w:trPr>
          <w:trHeight w:val="960" w:hRule="atLeast"/>
          <w:jc w:val="center"/>
        </w:trPr>
        <w:tc>
          <w:tcPr>
            <w:tcW w:w="14174" w:type="dxa"/>
            <w:gridSpan w:val="9"/>
            <w:tcBorders>
              <w:top w:val="nil"/>
              <w:left w:val="nil"/>
              <w:bottom w:val="nil"/>
              <w:right w:val="nil"/>
            </w:tcBorders>
            <w:shd w:val="clear" w:color="auto" w:fill="auto"/>
            <w:noWrap/>
            <w:vAlign w:val="center"/>
          </w:tcPr>
          <w:p>
            <w:pPr>
              <w:widowControl/>
              <w:jc w:val="center"/>
              <w:rPr>
                <w:rFonts w:eastAsia="方正小标宋_GBK"/>
                <w:sz w:val="36"/>
                <w:szCs w:val="36"/>
              </w:rPr>
            </w:pPr>
            <w:bookmarkStart w:id="0" w:name="RANGE!A1:I13"/>
            <w:r>
              <w:rPr>
                <w:rFonts w:eastAsia="方正小标宋_GBK"/>
                <w:sz w:val="36"/>
                <w:szCs w:val="36"/>
              </w:rPr>
              <w:t>收入决算表</w:t>
            </w:r>
            <w:bookmarkEnd w:id="0"/>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nil"/>
              <w:bottom w:val="nil"/>
              <w:right w:val="nil"/>
            </w:tcBorders>
            <w:shd w:val="clear" w:color="auto" w:fill="auto"/>
            <w:noWrap/>
            <w:vAlign w:val="center"/>
          </w:tcPr>
          <w:p>
            <w:pPr>
              <w:widowControl/>
              <w:jc w:val="center"/>
              <w:rPr>
                <w:rFonts w:eastAsia="方正小标宋_GBK"/>
                <w:sz w:val="36"/>
                <w:szCs w:val="36"/>
              </w:rPr>
            </w:pPr>
          </w:p>
        </w:tc>
        <w:tc>
          <w:tcPr>
            <w:tcW w:w="3616" w:type="dxa"/>
            <w:tcBorders>
              <w:top w:val="nil"/>
              <w:left w:val="nil"/>
              <w:bottom w:val="nil"/>
              <w:right w:val="nil"/>
            </w:tcBorders>
            <w:shd w:val="clear" w:color="auto" w:fill="auto"/>
            <w:noWrap/>
            <w:vAlign w:val="center"/>
          </w:tcPr>
          <w:p>
            <w:pPr>
              <w:widowControl/>
              <w:jc w:val="left"/>
              <w:rPr>
                <w:rFonts w:eastAsia="Times New Roman"/>
                <w:sz w:val="20"/>
              </w:rPr>
            </w:pPr>
          </w:p>
        </w:tc>
        <w:tc>
          <w:tcPr>
            <w:tcW w:w="1315" w:type="dxa"/>
            <w:tcBorders>
              <w:top w:val="nil"/>
              <w:left w:val="nil"/>
              <w:bottom w:val="nil"/>
              <w:right w:val="nil"/>
            </w:tcBorders>
            <w:shd w:val="clear" w:color="auto" w:fill="auto"/>
            <w:noWrap/>
            <w:vAlign w:val="center"/>
          </w:tcPr>
          <w:p>
            <w:pPr>
              <w:widowControl/>
              <w:jc w:val="left"/>
              <w:rPr>
                <w:rFonts w:eastAsia="Times New Roman"/>
                <w:sz w:val="20"/>
              </w:rPr>
            </w:pPr>
          </w:p>
        </w:tc>
        <w:tc>
          <w:tcPr>
            <w:tcW w:w="1315" w:type="dxa"/>
            <w:tcBorders>
              <w:top w:val="nil"/>
              <w:left w:val="nil"/>
              <w:bottom w:val="nil"/>
              <w:right w:val="nil"/>
            </w:tcBorders>
            <w:shd w:val="clear" w:color="auto" w:fill="auto"/>
            <w:noWrap/>
            <w:vAlign w:val="center"/>
          </w:tcPr>
          <w:p>
            <w:pPr>
              <w:widowControl/>
              <w:jc w:val="left"/>
              <w:rPr>
                <w:rFonts w:eastAsia="Times New Roman"/>
                <w:sz w:val="20"/>
              </w:rPr>
            </w:pPr>
          </w:p>
        </w:tc>
        <w:tc>
          <w:tcPr>
            <w:tcW w:w="1230" w:type="dxa"/>
            <w:tcBorders>
              <w:top w:val="nil"/>
              <w:left w:val="nil"/>
              <w:bottom w:val="nil"/>
              <w:right w:val="nil"/>
            </w:tcBorders>
            <w:shd w:val="clear" w:color="auto" w:fill="auto"/>
            <w:noWrap/>
            <w:vAlign w:val="center"/>
          </w:tcPr>
          <w:p>
            <w:pPr>
              <w:widowControl/>
              <w:jc w:val="left"/>
              <w:rPr>
                <w:rFonts w:eastAsia="Times New Roman"/>
                <w:sz w:val="20"/>
              </w:rPr>
            </w:pPr>
          </w:p>
        </w:tc>
        <w:tc>
          <w:tcPr>
            <w:tcW w:w="971" w:type="dxa"/>
            <w:tcBorders>
              <w:top w:val="nil"/>
              <w:left w:val="nil"/>
              <w:bottom w:val="nil"/>
              <w:right w:val="nil"/>
            </w:tcBorders>
            <w:shd w:val="clear" w:color="auto" w:fill="auto"/>
            <w:noWrap/>
            <w:vAlign w:val="center"/>
          </w:tcPr>
          <w:p>
            <w:pPr>
              <w:widowControl/>
              <w:jc w:val="left"/>
              <w:rPr>
                <w:rFonts w:eastAsia="Times New Roman"/>
                <w:sz w:val="20"/>
              </w:rPr>
            </w:pPr>
          </w:p>
        </w:tc>
        <w:tc>
          <w:tcPr>
            <w:tcW w:w="904" w:type="dxa"/>
            <w:tcBorders>
              <w:top w:val="nil"/>
              <w:left w:val="nil"/>
              <w:bottom w:val="nil"/>
              <w:right w:val="nil"/>
            </w:tcBorders>
            <w:shd w:val="clear" w:color="auto" w:fill="auto"/>
            <w:noWrap/>
            <w:vAlign w:val="center"/>
          </w:tcPr>
          <w:p>
            <w:pPr>
              <w:widowControl/>
              <w:jc w:val="left"/>
              <w:rPr>
                <w:rFonts w:eastAsia="Times New Roman"/>
                <w:sz w:val="20"/>
              </w:rPr>
            </w:pPr>
          </w:p>
        </w:tc>
        <w:tc>
          <w:tcPr>
            <w:tcW w:w="1556" w:type="dxa"/>
            <w:tcBorders>
              <w:top w:val="nil"/>
              <w:left w:val="nil"/>
              <w:bottom w:val="nil"/>
              <w:right w:val="nil"/>
            </w:tcBorders>
            <w:shd w:val="clear" w:color="auto" w:fill="auto"/>
            <w:noWrap/>
            <w:vAlign w:val="center"/>
          </w:tcPr>
          <w:p>
            <w:pPr>
              <w:widowControl/>
              <w:jc w:val="left"/>
              <w:rPr>
                <w:rFonts w:eastAsia="Times New Roman"/>
                <w:sz w:val="20"/>
              </w:rPr>
            </w:pPr>
          </w:p>
        </w:tc>
        <w:tc>
          <w:tcPr>
            <w:tcW w:w="1616"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公开02表</w:t>
            </w:r>
          </w:p>
        </w:tc>
      </w:tr>
      <w:tr>
        <w:tblPrEx>
          <w:tblLayout w:type="fixed"/>
          <w:tblCellMar>
            <w:top w:w="0" w:type="dxa"/>
            <w:left w:w="108" w:type="dxa"/>
            <w:bottom w:w="0" w:type="dxa"/>
            <w:right w:w="108" w:type="dxa"/>
          </w:tblCellMar>
        </w:tblPrEx>
        <w:trPr>
          <w:trHeight w:val="319" w:hRule="atLeast"/>
          <w:jc w:val="center"/>
        </w:trPr>
        <w:tc>
          <w:tcPr>
            <w:tcW w:w="5267" w:type="dxa"/>
            <w:gridSpan w:val="2"/>
            <w:tcBorders>
              <w:top w:val="nil"/>
              <w:left w:val="nil"/>
              <w:bottom w:val="nil"/>
              <w:right w:val="nil"/>
            </w:tcBorders>
            <w:shd w:val="clear" w:color="auto" w:fill="auto"/>
            <w:noWrap/>
            <w:vAlign w:val="center"/>
          </w:tcPr>
          <w:p>
            <w:pPr>
              <w:widowControl/>
              <w:jc w:val="left"/>
              <w:rPr>
                <w:rFonts w:eastAsia="宋体"/>
                <w:sz w:val="20"/>
              </w:rPr>
            </w:pPr>
            <w:r>
              <w:rPr>
                <w:rFonts w:eastAsia="宋体"/>
                <w:sz w:val="20"/>
              </w:rPr>
              <w:t>部门名称：</w:t>
            </w:r>
            <w:r>
              <w:rPr>
                <w:rFonts w:hint="eastAsia" w:eastAsia="宋体"/>
                <w:sz w:val="20"/>
              </w:rPr>
              <w:t>江苏传媒学校</w:t>
            </w:r>
          </w:p>
        </w:tc>
        <w:tc>
          <w:tcPr>
            <w:tcW w:w="1315" w:type="dxa"/>
            <w:tcBorders>
              <w:top w:val="nil"/>
              <w:left w:val="nil"/>
              <w:bottom w:val="nil"/>
              <w:right w:val="nil"/>
            </w:tcBorders>
            <w:shd w:val="clear" w:color="auto" w:fill="auto"/>
            <w:noWrap/>
            <w:vAlign w:val="center"/>
          </w:tcPr>
          <w:p>
            <w:pPr>
              <w:widowControl/>
              <w:jc w:val="left"/>
              <w:rPr>
                <w:rFonts w:eastAsia="宋体"/>
                <w:sz w:val="20"/>
              </w:rPr>
            </w:pPr>
          </w:p>
        </w:tc>
        <w:tc>
          <w:tcPr>
            <w:tcW w:w="1315" w:type="dxa"/>
            <w:tcBorders>
              <w:top w:val="nil"/>
              <w:left w:val="nil"/>
              <w:bottom w:val="nil"/>
              <w:right w:val="nil"/>
            </w:tcBorders>
            <w:shd w:val="clear" w:color="auto" w:fill="auto"/>
            <w:noWrap/>
            <w:vAlign w:val="center"/>
          </w:tcPr>
          <w:p>
            <w:pPr>
              <w:widowControl/>
              <w:jc w:val="left"/>
              <w:rPr>
                <w:rFonts w:eastAsia="Times New Roman"/>
                <w:sz w:val="20"/>
              </w:rPr>
            </w:pPr>
          </w:p>
        </w:tc>
        <w:tc>
          <w:tcPr>
            <w:tcW w:w="1230" w:type="dxa"/>
            <w:tcBorders>
              <w:top w:val="nil"/>
              <w:left w:val="nil"/>
              <w:bottom w:val="nil"/>
              <w:right w:val="nil"/>
            </w:tcBorders>
            <w:shd w:val="clear" w:color="auto" w:fill="auto"/>
            <w:noWrap/>
            <w:vAlign w:val="center"/>
          </w:tcPr>
          <w:p>
            <w:pPr>
              <w:widowControl/>
              <w:jc w:val="left"/>
              <w:rPr>
                <w:rFonts w:eastAsia="Times New Roman"/>
                <w:sz w:val="20"/>
              </w:rPr>
            </w:pPr>
          </w:p>
        </w:tc>
        <w:tc>
          <w:tcPr>
            <w:tcW w:w="971" w:type="dxa"/>
            <w:tcBorders>
              <w:top w:val="nil"/>
              <w:left w:val="nil"/>
              <w:bottom w:val="nil"/>
              <w:right w:val="nil"/>
            </w:tcBorders>
            <w:shd w:val="clear" w:color="auto" w:fill="auto"/>
            <w:noWrap/>
            <w:vAlign w:val="center"/>
          </w:tcPr>
          <w:p>
            <w:pPr>
              <w:widowControl/>
              <w:jc w:val="center"/>
              <w:rPr>
                <w:rFonts w:eastAsia="Times New Roman"/>
                <w:sz w:val="20"/>
              </w:rPr>
            </w:pPr>
          </w:p>
        </w:tc>
        <w:tc>
          <w:tcPr>
            <w:tcW w:w="904" w:type="dxa"/>
            <w:tcBorders>
              <w:top w:val="nil"/>
              <w:left w:val="nil"/>
              <w:bottom w:val="nil"/>
              <w:right w:val="nil"/>
            </w:tcBorders>
            <w:shd w:val="clear" w:color="auto" w:fill="auto"/>
            <w:noWrap/>
            <w:vAlign w:val="center"/>
          </w:tcPr>
          <w:p>
            <w:pPr>
              <w:widowControl/>
              <w:jc w:val="left"/>
              <w:rPr>
                <w:rFonts w:eastAsia="Times New Roman"/>
                <w:sz w:val="20"/>
              </w:rPr>
            </w:pPr>
          </w:p>
        </w:tc>
        <w:tc>
          <w:tcPr>
            <w:tcW w:w="1556" w:type="dxa"/>
            <w:tcBorders>
              <w:top w:val="nil"/>
              <w:left w:val="nil"/>
              <w:bottom w:val="nil"/>
              <w:right w:val="nil"/>
            </w:tcBorders>
            <w:shd w:val="clear" w:color="auto" w:fill="auto"/>
            <w:noWrap/>
            <w:vAlign w:val="center"/>
          </w:tcPr>
          <w:p>
            <w:pPr>
              <w:widowControl/>
              <w:jc w:val="left"/>
              <w:rPr>
                <w:rFonts w:eastAsia="Times New Roman"/>
                <w:sz w:val="20"/>
              </w:rPr>
            </w:pPr>
          </w:p>
        </w:tc>
        <w:tc>
          <w:tcPr>
            <w:tcW w:w="1616"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08" w:hRule="atLeast"/>
          <w:jc w:val="center"/>
        </w:trPr>
        <w:tc>
          <w:tcPr>
            <w:tcW w:w="52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项目</w:t>
            </w:r>
          </w:p>
        </w:tc>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本年收入合计</w:t>
            </w:r>
          </w:p>
        </w:tc>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财政拨款收入</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上级补助收入</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事业收入</w:t>
            </w:r>
          </w:p>
        </w:tc>
        <w:tc>
          <w:tcPr>
            <w:tcW w:w="9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经营收入</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附属单位上缴收入</w:t>
            </w:r>
          </w:p>
        </w:tc>
        <w:tc>
          <w:tcPr>
            <w:tcW w:w="1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其他收入</w:t>
            </w:r>
          </w:p>
        </w:tc>
      </w:tr>
      <w:tr>
        <w:tblPrEx>
          <w:tblLayout w:type="fixed"/>
          <w:tblCellMar>
            <w:top w:w="0" w:type="dxa"/>
            <w:left w:w="108" w:type="dxa"/>
            <w:bottom w:w="0" w:type="dxa"/>
            <w:right w:w="108" w:type="dxa"/>
          </w:tblCellMar>
        </w:tblPrEx>
        <w:trPr>
          <w:trHeight w:val="642" w:hRule="atLeast"/>
          <w:jc w:val="center"/>
        </w:trPr>
        <w:tc>
          <w:tcPr>
            <w:tcW w:w="16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功能分类科目编码</w:t>
            </w:r>
          </w:p>
        </w:tc>
        <w:tc>
          <w:tcPr>
            <w:tcW w:w="36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科目名称</w:t>
            </w:r>
          </w:p>
        </w:tc>
        <w:tc>
          <w:tcPr>
            <w:tcW w:w="13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3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52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合计</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2254.29</w:t>
            </w:r>
            <w:r>
              <w:rPr>
                <w:rFonts w:eastAsia="宋体"/>
                <w:sz w:val="20"/>
              </w:rPr>
              <w:t>　</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1637.68</w:t>
            </w:r>
            <w:r>
              <w:rPr>
                <w:rFonts w:eastAsia="宋体"/>
                <w:sz w:val="20"/>
              </w:rPr>
              <w:t>　</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279.9</w:t>
            </w:r>
            <w:r>
              <w:rPr>
                <w:rFonts w:eastAsia="宋体"/>
                <w:sz w:val="20"/>
              </w:rPr>
              <w:t>　</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336.71</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教育支出</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1690.04</w:t>
            </w:r>
            <w:r>
              <w:rPr>
                <w:rFonts w:eastAsia="宋体"/>
                <w:sz w:val="20"/>
              </w:rPr>
              <w:t>　</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1424.3</w:t>
            </w:r>
            <w:r>
              <w:rPr>
                <w:rFonts w:eastAsia="宋体"/>
                <w:sz w:val="20"/>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78.27</w:t>
            </w:r>
            <w:r>
              <w:rPr>
                <w:rFonts w:eastAsia="宋体"/>
                <w:sz w:val="20"/>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187.47</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20503</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职业教育</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1690.04</w:t>
            </w:r>
            <w:r>
              <w:rPr>
                <w:rFonts w:eastAsia="宋体"/>
                <w:sz w:val="20"/>
              </w:rPr>
              <w:t>　</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1424.3</w:t>
            </w:r>
            <w:r>
              <w:rPr>
                <w:rFonts w:eastAsia="宋体"/>
                <w:sz w:val="20"/>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78.27</w:t>
            </w:r>
            <w:r>
              <w:rPr>
                <w:rFonts w:eastAsia="宋体"/>
                <w:sz w:val="20"/>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187.47</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2050302</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 xml:space="preserve">  中专教育</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150.39</w:t>
            </w:r>
            <w:r>
              <w:rPr>
                <w:rFonts w:eastAsia="宋体"/>
                <w:sz w:val="20"/>
              </w:rPr>
              <w:t>　</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91.02</w:t>
            </w:r>
            <w:r>
              <w:rPr>
                <w:rFonts w:eastAsia="宋体"/>
                <w:sz w:val="20"/>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59.37</w:t>
            </w:r>
            <w:r>
              <w:rPr>
                <w:rFonts w:eastAsia="宋体"/>
                <w:sz w:val="20"/>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2050305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高等职业教育</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1539.65</w:t>
            </w:r>
            <w:r>
              <w:rPr>
                <w:rFonts w:eastAsia="宋体"/>
                <w:sz w:val="20"/>
              </w:rPr>
              <w:t>　</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1333.28</w:t>
            </w:r>
            <w:r>
              <w:rPr>
                <w:rFonts w:eastAsia="宋体"/>
                <w:sz w:val="20"/>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18.90</w:t>
            </w:r>
            <w:r>
              <w:rPr>
                <w:rFonts w:eastAsia="宋体"/>
                <w:sz w:val="20"/>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187.47</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208</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社会保障和就业支出</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264.88</w:t>
            </w:r>
            <w:r>
              <w:rPr>
                <w:rFonts w:eastAsia="宋体"/>
                <w:sz w:val="20"/>
              </w:rPr>
              <w:t>　</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137.09</w:t>
            </w:r>
            <w:r>
              <w:rPr>
                <w:rFonts w:eastAsia="宋体"/>
                <w:sz w:val="20"/>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r>
              <w:rPr>
                <w:rFonts w:eastAsia="宋体"/>
                <w:sz w:val="20"/>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127.79</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b/>
                <w:bCs/>
                <w:sz w:val="20"/>
                <w:szCs w:val="20"/>
              </w:rPr>
            </w:pPr>
            <w:r>
              <w:rPr>
                <w:rFonts w:hint="eastAsia" w:cs="Arial"/>
                <w:b/>
                <w:bCs/>
                <w:sz w:val="20"/>
                <w:szCs w:val="20"/>
              </w:rPr>
              <w:t>20805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行政事业单位离退休</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264.88</w:t>
            </w:r>
            <w:r>
              <w:rPr>
                <w:rFonts w:eastAsia="宋体"/>
                <w:sz w:val="20"/>
              </w:rPr>
              <w:t>　</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137.09</w:t>
            </w:r>
            <w:r>
              <w:rPr>
                <w:rFonts w:eastAsia="宋体"/>
                <w:sz w:val="20"/>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r>
              <w:rPr>
                <w:rFonts w:eastAsia="宋体"/>
                <w:sz w:val="20"/>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127.79</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sz w:val="20"/>
                <w:szCs w:val="20"/>
              </w:rPr>
            </w:pPr>
            <w:r>
              <w:rPr>
                <w:rFonts w:hint="eastAsia" w:cs="Arial"/>
                <w:sz w:val="20"/>
                <w:szCs w:val="20"/>
              </w:rPr>
              <w:t>2080505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机关事业单位基本养老保险缴费支出</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99.03</w:t>
            </w:r>
            <w:r>
              <w:rPr>
                <w:rFonts w:eastAsia="宋体"/>
                <w:sz w:val="20"/>
              </w:rPr>
              <w:t>　</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97.92</w:t>
            </w:r>
            <w:r>
              <w:rPr>
                <w:rFonts w:eastAsia="宋体"/>
                <w:sz w:val="20"/>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r>
              <w:rPr>
                <w:rFonts w:eastAsia="宋体"/>
                <w:sz w:val="20"/>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1.11</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cs="Arial"/>
                <w:sz w:val="20"/>
                <w:szCs w:val="20"/>
              </w:rPr>
            </w:pPr>
            <w:r>
              <w:rPr>
                <w:rFonts w:hint="eastAsia" w:cs="Arial"/>
                <w:sz w:val="20"/>
                <w:szCs w:val="20"/>
              </w:rPr>
              <w:t>2080506</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 xml:space="preserve">  机关事业单位职业年金缴费支出</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165.85</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39.17</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126.68</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cs="Arial"/>
                <w:sz w:val="20"/>
                <w:szCs w:val="20"/>
              </w:rPr>
            </w:pPr>
            <w:r>
              <w:rPr>
                <w:rFonts w:cs="Arial"/>
                <w:sz w:val="20"/>
                <w:szCs w:val="20"/>
              </w:rPr>
              <w:t>221</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住房保障支出</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299.36</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76.29</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201.63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21.44</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cs="Arial"/>
                <w:sz w:val="20"/>
                <w:szCs w:val="20"/>
              </w:rPr>
            </w:pPr>
            <w:r>
              <w:rPr>
                <w:rFonts w:cs="Arial"/>
                <w:sz w:val="20"/>
                <w:szCs w:val="20"/>
              </w:rPr>
              <w:t>22102</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住房改革支出</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299.36</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76.29</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201.63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21.44</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cs="Arial"/>
                <w:sz w:val="20"/>
                <w:szCs w:val="20"/>
              </w:rPr>
            </w:pPr>
            <w:r>
              <w:rPr>
                <w:rFonts w:cs="Arial"/>
                <w:sz w:val="20"/>
                <w:szCs w:val="20"/>
              </w:rPr>
              <w:t>2210201</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住房公积金</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91.98</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70.54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21.44</w:t>
            </w:r>
          </w:p>
        </w:tc>
      </w:tr>
      <w:tr>
        <w:tblPrEx>
          <w:tblLayout w:type="fixed"/>
          <w:tblCellMar>
            <w:top w:w="0" w:type="dxa"/>
            <w:left w:w="108" w:type="dxa"/>
            <w:bottom w:w="0" w:type="dxa"/>
            <w:right w:w="108" w:type="dxa"/>
          </w:tblCellMar>
        </w:tblPrEx>
        <w:trPr>
          <w:trHeight w:val="319" w:hRule="atLeast"/>
          <w:jc w:val="center"/>
        </w:trPr>
        <w:tc>
          <w:tcPr>
            <w:tcW w:w="1651" w:type="dxa"/>
            <w:tcBorders>
              <w:top w:val="nil"/>
              <w:left w:val="single" w:color="auto" w:sz="4" w:space="0"/>
              <w:bottom w:val="single" w:color="auto" w:sz="4" w:space="0"/>
              <w:right w:val="single" w:color="auto" w:sz="4" w:space="0"/>
            </w:tcBorders>
            <w:shd w:val="clear" w:color="auto" w:fill="auto"/>
            <w:noWrap/>
            <w:vAlign w:val="center"/>
          </w:tcPr>
          <w:p>
            <w:pPr>
              <w:rPr>
                <w:rFonts w:cs="Arial"/>
                <w:sz w:val="20"/>
                <w:szCs w:val="20"/>
              </w:rPr>
            </w:pPr>
            <w:r>
              <w:rPr>
                <w:rFonts w:cs="Arial"/>
                <w:sz w:val="20"/>
                <w:szCs w:val="20"/>
              </w:rPr>
              <w:t>2210202</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提租补贴</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207.38</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76.29</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9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131.09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p>
        </w:tc>
      </w:tr>
      <w:tr>
        <w:tblPrEx>
          <w:tblLayout w:type="fixed"/>
          <w:tblCellMar>
            <w:top w:w="0" w:type="dxa"/>
            <w:left w:w="108" w:type="dxa"/>
            <w:bottom w:w="0" w:type="dxa"/>
            <w:right w:w="108" w:type="dxa"/>
          </w:tblCellMar>
        </w:tblPrEx>
        <w:trPr>
          <w:trHeight w:val="390" w:hRule="atLeast"/>
          <w:jc w:val="center"/>
        </w:trPr>
        <w:tc>
          <w:tcPr>
            <w:tcW w:w="6582" w:type="dxa"/>
            <w:gridSpan w:val="3"/>
            <w:tcBorders>
              <w:top w:val="nil"/>
              <w:left w:val="nil"/>
              <w:bottom w:val="nil"/>
              <w:right w:val="nil"/>
            </w:tcBorders>
            <w:shd w:val="clear" w:color="auto" w:fill="auto"/>
            <w:noWrap/>
            <w:vAlign w:val="center"/>
          </w:tcPr>
          <w:p>
            <w:pPr>
              <w:widowControl/>
              <w:jc w:val="left"/>
              <w:rPr>
                <w:rFonts w:eastAsia="宋体"/>
                <w:sz w:val="20"/>
              </w:rPr>
            </w:pPr>
            <w:r>
              <w:rPr>
                <w:rFonts w:eastAsia="宋体"/>
                <w:sz w:val="20"/>
              </w:rPr>
              <w:t>注：“科目编码”和“科目名称”均为必填项</w:t>
            </w:r>
          </w:p>
        </w:tc>
        <w:tc>
          <w:tcPr>
            <w:tcW w:w="1315" w:type="dxa"/>
            <w:tcBorders>
              <w:top w:val="nil"/>
              <w:left w:val="nil"/>
              <w:bottom w:val="nil"/>
              <w:right w:val="nil"/>
            </w:tcBorders>
            <w:shd w:val="clear" w:color="auto" w:fill="auto"/>
            <w:noWrap/>
            <w:vAlign w:val="center"/>
          </w:tcPr>
          <w:p>
            <w:pPr>
              <w:widowControl/>
              <w:jc w:val="left"/>
              <w:rPr>
                <w:rFonts w:eastAsia="宋体"/>
                <w:sz w:val="20"/>
              </w:rPr>
            </w:pPr>
          </w:p>
        </w:tc>
        <w:tc>
          <w:tcPr>
            <w:tcW w:w="1230" w:type="dxa"/>
            <w:tcBorders>
              <w:top w:val="nil"/>
              <w:left w:val="nil"/>
              <w:bottom w:val="nil"/>
              <w:right w:val="nil"/>
            </w:tcBorders>
            <w:shd w:val="clear" w:color="auto" w:fill="auto"/>
            <w:noWrap/>
            <w:vAlign w:val="center"/>
          </w:tcPr>
          <w:p>
            <w:pPr>
              <w:widowControl/>
              <w:jc w:val="left"/>
              <w:rPr>
                <w:rFonts w:eastAsia="Times New Roman"/>
                <w:sz w:val="20"/>
              </w:rPr>
            </w:pPr>
          </w:p>
        </w:tc>
        <w:tc>
          <w:tcPr>
            <w:tcW w:w="971" w:type="dxa"/>
            <w:tcBorders>
              <w:top w:val="nil"/>
              <w:left w:val="nil"/>
              <w:bottom w:val="nil"/>
              <w:right w:val="nil"/>
            </w:tcBorders>
            <w:shd w:val="clear" w:color="auto" w:fill="auto"/>
            <w:noWrap/>
            <w:vAlign w:val="center"/>
          </w:tcPr>
          <w:p>
            <w:pPr>
              <w:widowControl/>
              <w:jc w:val="left"/>
              <w:rPr>
                <w:rFonts w:eastAsia="Times New Roman"/>
                <w:sz w:val="20"/>
              </w:rPr>
            </w:pPr>
          </w:p>
        </w:tc>
        <w:tc>
          <w:tcPr>
            <w:tcW w:w="904" w:type="dxa"/>
            <w:tcBorders>
              <w:top w:val="nil"/>
              <w:left w:val="nil"/>
              <w:bottom w:val="nil"/>
              <w:right w:val="nil"/>
            </w:tcBorders>
            <w:shd w:val="clear" w:color="auto" w:fill="auto"/>
            <w:noWrap/>
            <w:vAlign w:val="center"/>
          </w:tcPr>
          <w:p>
            <w:pPr>
              <w:widowControl/>
              <w:jc w:val="left"/>
              <w:rPr>
                <w:rFonts w:eastAsia="Times New Roman"/>
                <w:sz w:val="20"/>
              </w:rPr>
            </w:pPr>
          </w:p>
        </w:tc>
        <w:tc>
          <w:tcPr>
            <w:tcW w:w="1556" w:type="dxa"/>
            <w:tcBorders>
              <w:top w:val="nil"/>
              <w:left w:val="nil"/>
              <w:bottom w:val="nil"/>
              <w:right w:val="nil"/>
            </w:tcBorders>
            <w:shd w:val="clear" w:color="auto" w:fill="auto"/>
            <w:noWrap/>
            <w:vAlign w:val="center"/>
          </w:tcPr>
          <w:p>
            <w:pPr>
              <w:widowControl/>
              <w:jc w:val="left"/>
              <w:rPr>
                <w:rFonts w:eastAsia="Times New Roman"/>
                <w:sz w:val="20"/>
              </w:rPr>
            </w:pPr>
          </w:p>
        </w:tc>
        <w:tc>
          <w:tcPr>
            <w:tcW w:w="1616" w:type="dxa"/>
            <w:tcBorders>
              <w:top w:val="nil"/>
              <w:left w:val="nil"/>
              <w:bottom w:val="nil"/>
              <w:right w:val="nil"/>
            </w:tcBorders>
            <w:shd w:val="clear" w:color="auto" w:fill="auto"/>
            <w:noWrap/>
            <w:vAlign w:val="center"/>
          </w:tcPr>
          <w:p>
            <w:pPr>
              <w:widowControl/>
              <w:jc w:val="left"/>
              <w:rPr>
                <w:rFonts w:eastAsia="Times New Roman"/>
                <w:sz w:val="20"/>
              </w:rPr>
            </w:pPr>
          </w:p>
        </w:tc>
      </w:tr>
    </w:tbl>
    <w:p/>
    <w:p/>
    <w:tbl>
      <w:tblPr>
        <w:tblStyle w:val="5"/>
        <w:tblW w:w="13328" w:type="dxa"/>
        <w:jc w:val="center"/>
        <w:tblInd w:w="0" w:type="dxa"/>
        <w:tblLayout w:type="fixed"/>
        <w:tblCellMar>
          <w:top w:w="0" w:type="dxa"/>
          <w:left w:w="108" w:type="dxa"/>
          <w:bottom w:w="0" w:type="dxa"/>
          <w:right w:w="108" w:type="dxa"/>
        </w:tblCellMar>
      </w:tblPr>
      <w:tblGrid>
        <w:gridCol w:w="1816"/>
        <w:gridCol w:w="3616"/>
        <w:gridCol w:w="1416"/>
        <w:gridCol w:w="1016"/>
        <w:gridCol w:w="1016"/>
        <w:gridCol w:w="1416"/>
        <w:gridCol w:w="1016"/>
        <w:gridCol w:w="2016"/>
      </w:tblGrid>
      <w:tr>
        <w:tblPrEx>
          <w:tblLayout w:type="fixed"/>
          <w:tblCellMar>
            <w:top w:w="0" w:type="dxa"/>
            <w:left w:w="108" w:type="dxa"/>
            <w:bottom w:w="0" w:type="dxa"/>
            <w:right w:w="108" w:type="dxa"/>
          </w:tblCellMar>
        </w:tblPrEx>
        <w:trPr>
          <w:trHeight w:val="960" w:hRule="atLeast"/>
          <w:jc w:val="center"/>
        </w:trPr>
        <w:tc>
          <w:tcPr>
            <w:tcW w:w="13328" w:type="dxa"/>
            <w:gridSpan w:val="8"/>
            <w:tcBorders>
              <w:top w:val="nil"/>
              <w:left w:val="nil"/>
              <w:bottom w:val="nil"/>
              <w:right w:val="nil"/>
            </w:tcBorders>
            <w:shd w:val="clear" w:color="auto" w:fill="auto"/>
            <w:noWrap/>
            <w:vAlign w:val="center"/>
          </w:tcPr>
          <w:p>
            <w:pPr>
              <w:widowControl/>
              <w:jc w:val="center"/>
              <w:rPr>
                <w:rFonts w:eastAsia="方正小标宋_GBK"/>
                <w:sz w:val="36"/>
                <w:szCs w:val="36"/>
              </w:rPr>
            </w:pPr>
            <w:bookmarkStart w:id="1" w:name="RANGE!A1:H13"/>
          </w:p>
          <w:p>
            <w:pPr>
              <w:widowControl/>
              <w:jc w:val="center"/>
              <w:rPr>
                <w:rFonts w:eastAsia="方正小标宋_GBK"/>
                <w:sz w:val="36"/>
                <w:szCs w:val="36"/>
              </w:rPr>
            </w:pPr>
            <w:r>
              <w:rPr>
                <w:rFonts w:eastAsia="方正小标宋_GBK"/>
                <w:sz w:val="36"/>
                <w:szCs w:val="36"/>
              </w:rPr>
              <w:t>支出决算表</w:t>
            </w:r>
            <w:bookmarkEnd w:id="1"/>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nil"/>
              <w:bottom w:val="nil"/>
              <w:right w:val="nil"/>
            </w:tcBorders>
            <w:shd w:val="clear" w:color="auto" w:fill="auto"/>
            <w:noWrap/>
            <w:vAlign w:val="bottom"/>
          </w:tcPr>
          <w:p>
            <w:pPr>
              <w:widowControl/>
              <w:jc w:val="center"/>
              <w:rPr>
                <w:rFonts w:eastAsia="方正小标宋_GBK"/>
                <w:sz w:val="36"/>
                <w:szCs w:val="36"/>
              </w:rPr>
            </w:pPr>
          </w:p>
        </w:tc>
        <w:tc>
          <w:tcPr>
            <w:tcW w:w="36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4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0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0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4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016" w:type="dxa"/>
            <w:tcBorders>
              <w:top w:val="nil"/>
              <w:left w:val="nil"/>
              <w:bottom w:val="nil"/>
              <w:right w:val="nil"/>
            </w:tcBorders>
            <w:shd w:val="clear" w:color="auto" w:fill="auto"/>
            <w:noWrap/>
            <w:vAlign w:val="bottom"/>
          </w:tcPr>
          <w:p>
            <w:pPr>
              <w:widowControl/>
              <w:jc w:val="left"/>
              <w:rPr>
                <w:rFonts w:eastAsia="Times New Roman"/>
                <w:sz w:val="20"/>
              </w:rPr>
            </w:pPr>
          </w:p>
        </w:tc>
        <w:tc>
          <w:tcPr>
            <w:tcW w:w="2016" w:type="dxa"/>
            <w:tcBorders>
              <w:top w:val="nil"/>
              <w:left w:val="nil"/>
              <w:bottom w:val="nil"/>
              <w:right w:val="nil"/>
            </w:tcBorders>
            <w:shd w:val="clear" w:color="auto" w:fill="auto"/>
            <w:noWrap/>
            <w:vAlign w:val="bottom"/>
          </w:tcPr>
          <w:p>
            <w:pPr>
              <w:widowControl/>
              <w:jc w:val="right"/>
              <w:rPr>
                <w:rFonts w:eastAsia="宋体"/>
                <w:sz w:val="20"/>
              </w:rPr>
            </w:pPr>
            <w:r>
              <w:rPr>
                <w:rFonts w:eastAsia="宋体"/>
                <w:sz w:val="20"/>
              </w:rPr>
              <w:t>公开03表</w:t>
            </w:r>
          </w:p>
        </w:tc>
      </w:tr>
      <w:tr>
        <w:tblPrEx>
          <w:tblLayout w:type="fixed"/>
          <w:tblCellMar>
            <w:top w:w="0" w:type="dxa"/>
            <w:left w:w="108" w:type="dxa"/>
            <w:bottom w:w="0" w:type="dxa"/>
            <w:right w:w="108" w:type="dxa"/>
          </w:tblCellMar>
        </w:tblPrEx>
        <w:trPr>
          <w:trHeight w:val="319" w:hRule="atLeast"/>
          <w:jc w:val="center"/>
        </w:trPr>
        <w:tc>
          <w:tcPr>
            <w:tcW w:w="5432" w:type="dxa"/>
            <w:gridSpan w:val="2"/>
            <w:tcBorders>
              <w:top w:val="nil"/>
              <w:left w:val="nil"/>
              <w:bottom w:val="nil"/>
              <w:right w:val="nil"/>
            </w:tcBorders>
            <w:shd w:val="clear" w:color="auto" w:fill="auto"/>
            <w:noWrap/>
            <w:vAlign w:val="bottom"/>
          </w:tcPr>
          <w:p>
            <w:pPr>
              <w:widowControl/>
              <w:jc w:val="left"/>
              <w:rPr>
                <w:rFonts w:eastAsia="宋体"/>
                <w:sz w:val="20"/>
              </w:rPr>
            </w:pPr>
            <w:r>
              <w:rPr>
                <w:rFonts w:eastAsia="宋体"/>
                <w:sz w:val="20"/>
              </w:rPr>
              <w:t>部门名称：</w:t>
            </w:r>
            <w:r>
              <w:rPr>
                <w:rFonts w:hint="eastAsia" w:eastAsia="宋体"/>
                <w:sz w:val="20"/>
              </w:rPr>
              <w:t>江苏传媒学校</w:t>
            </w:r>
          </w:p>
        </w:tc>
        <w:tc>
          <w:tcPr>
            <w:tcW w:w="1416" w:type="dxa"/>
            <w:tcBorders>
              <w:top w:val="nil"/>
              <w:left w:val="nil"/>
              <w:bottom w:val="nil"/>
              <w:right w:val="nil"/>
            </w:tcBorders>
            <w:shd w:val="clear" w:color="auto" w:fill="auto"/>
            <w:noWrap/>
            <w:vAlign w:val="bottom"/>
          </w:tcPr>
          <w:p>
            <w:pPr>
              <w:widowControl/>
              <w:jc w:val="left"/>
              <w:rPr>
                <w:rFonts w:eastAsia="宋体"/>
                <w:sz w:val="20"/>
              </w:rPr>
            </w:pPr>
          </w:p>
        </w:tc>
        <w:tc>
          <w:tcPr>
            <w:tcW w:w="10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016" w:type="dxa"/>
            <w:tcBorders>
              <w:top w:val="nil"/>
              <w:left w:val="nil"/>
              <w:bottom w:val="nil"/>
              <w:right w:val="nil"/>
            </w:tcBorders>
            <w:shd w:val="clear" w:color="auto" w:fill="auto"/>
            <w:noWrap/>
            <w:vAlign w:val="bottom"/>
          </w:tcPr>
          <w:p>
            <w:pPr>
              <w:widowControl/>
              <w:jc w:val="center"/>
              <w:rPr>
                <w:rFonts w:eastAsia="Times New Roman"/>
                <w:sz w:val="20"/>
              </w:rPr>
            </w:pPr>
          </w:p>
        </w:tc>
        <w:tc>
          <w:tcPr>
            <w:tcW w:w="14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016" w:type="dxa"/>
            <w:tcBorders>
              <w:top w:val="nil"/>
              <w:left w:val="nil"/>
              <w:bottom w:val="nil"/>
              <w:right w:val="nil"/>
            </w:tcBorders>
            <w:shd w:val="clear" w:color="auto" w:fill="auto"/>
            <w:noWrap/>
            <w:vAlign w:val="bottom"/>
          </w:tcPr>
          <w:p>
            <w:pPr>
              <w:widowControl/>
              <w:jc w:val="left"/>
              <w:rPr>
                <w:rFonts w:eastAsia="Times New Roman"/>
                <w:sz w:val="20"/>
              </w:rPr>
            </w:pPr>
          </w:p>
        </w:tc>
        <w:tc>
          <w:tcPr>
            <w:tcW w:w="2016" w:type="dxa"/>
            <w:tcBorders>
              <w:top w:val="nil"/>
              <w:left w:val="nil"/>
              <w:bottom w:val="nil"/>
              <w:right w:val="nil"/>
            </w:tcBorders>
            <w:shd w:val="clear" w:color="auto" w:fill="auto"/>
            <w:noWrap/>
            <w:vAlign w:val="bottom"/>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5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项目</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本年支出合计</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基本支出</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项目支出</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上缴上级支出</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经营支出</w:t>
            </w:r>
          </w:p>
        </w:tc>
        <w:tc>
          <w:tcPr>
            <w:tcW w:w="2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对附属单位补助支出</w:t>
            </w:r>
          </w:p>
        </w:tc>
      </w:tr>
      <w:tr>
        <w:tblPrEx>
          <w:tblLayout w:type="fixed"/>
          <w:tblCellMar>
            <w:top w:w="0" w:type="dxa"/>
            <w:left w:w="108" w:type="dxa"/>
            <w:bottom w:w="0" w:type="dxa"/>
            <w:right w:w="108" w:type="dxa"/>
          </w:tblCellMar>
        </w:tblPrEx>
        <w:trPr>
          <w:trHeight w:val="642" w:hRule="atLeast"/>
          <w:jc w:val="center"/>
        </w:trPr>
        <w:tc>
          <w:tcPr>
            <w:tcW w:w="1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功能分类科目编码</w:t>
            </w:r>
          </w:p>
        </w:tc>
        <w:tc>
          <w:tcPr>
            <w:tcW w:w="36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科目名称</w:t>
            </w: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36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合计</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2183.1</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1995.55</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187.55</w:t>
            </w:r>
            <w:r>
              <w:rPr>
                <w:rFonts w:eastAsia="宋体"/>
                <w:sz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205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教育支出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1618.86</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1431.3</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tcPr>
          <w:p>
            <w:r>
              <w:rPr>
                <w:rFonts w:hint="eastAsia" w:eastAsia="宋体"/>
                <w:sz w:val="20"/>
              </w:rPr>
              <w:t>187.55</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20503</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职业教育</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1618.86</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1431.3</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tcPr>
          <w:p>
            <w:r>
              <w:rPr>
                <w:rFonts w:hint="eastAsia" w:eastAsia="宋体"/>
                <w:sz w:val="20"/>
              </w:rPr>
              <w:t>187.55</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2050302</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中专教育</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187.56</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0</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2050305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 xml:space="preserve">  高等职业教育</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1431.3</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1431.3</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187.55</w:t>
            </w:r>
            <w:r>
              <w:rPr>
                <w:rFonts w:eastAsia="宋体"/>
                <w:sz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208</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社会保障和就业支出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264.88</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264.88</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20805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行政事业单位离退休</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264.88</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264.88</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2080505</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机关事业单位基本养老保险缴费支出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99.03</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99.03</w:t>
            </w: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2080506</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机关事业单位职业年金缴费支出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165.85</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165.85</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221</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住房保障支出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299.36</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299.36</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22102</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住房改革支出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299.36</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299.36</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2210201</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住房公积金</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91.98</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91.98</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2210202</w:t>
            </w:r>
          </w:p>
        </w:tc>
        <w:tc>
          <w:tcPr>
            <w:tcW w:w="3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hint="eastAsia" w:eastAsia="宋体"/>
                <w:sz w:val="20"/>
              </w:rPr>
              <w:t>提租补贴</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207.38</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207.38</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c>
          <w:tcPr>
            <w:tcW w:w="20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p>
        </w:tc>
      </w:tr>
      <w:tr>
        <w:tblPrEx>
          <w:tblLayout w:type="fixed"/>
          <w:tblCellMar>
            <w:top w:w="0" w:type="dxa"/>
            <w:left w:w="108" w:type="dxa"/>
            <w:bottom w:w="0" w:type="dxa"/>
            <w:right w:w="108" w:type="dxa"/>
          </w:tblCellMar>
        </w:tblPrEx>
        <w:trPr>
          <w:trHeight w:val="345" w:hRule="atLeast"/>
          <w:jc w:val="center"/>
        </w:trPr>
        <w:tc>
          <w:tcPr>
            <w:tcW w:w="6848" w:type="dxa"/>
            <w:gridSpan w:val="3"/>
            <w:tcBorders>
              <w:top w:val="nil"/>
              <w:left w:val="nil"/>
              <w:bottom w:val="nil"/>
              <w:right w:val="nil"/>
            </w:tcBorders>
            <w:shd w:val="clear" w:color="auto" w:fill="auto"/>
            <w:noWrap/>
            <w:vAlign w:val="bottom"/>
          </w:tcPr>
          <w:p>
            <w:pPr>
              <w:widowControl/>
              <w:jc w:val="left"/>
              <w:rPr>
                <w:rFonts w:eastAsia="宋体"/>
                <w:sz w:val="20"/>
              </w:rPr>
            </w:pPr>
            <w:r>
              <w:rPr>
                <w:rFonts w:eastAsia="宋体"/>
                <w:sz w:val="20"/>
              </w:rPr>
              <w:t>注：“科目编码”和“科目名称”均为必填项。</w:t>
            </w:r>
          </w:p>
        </w:tc>
        <w:tc>
          <w:tcPr>
            <w:tcW w:w="1016" w:type="dxa"/>
            <w:tcBorders>
              <w:top w:val="nil"/>
              <w:left w:val="nil"/>
              <w:bottom w:val="nil"/>
              <w:right w:val="nil"/>
            </w:tcBorders>
            <w:shd w:val="clear" w:color="auto" w:fill="auto"/>
            <w:noWrap/>
            <w:vAlign w:val="bottom"/>
          </w:tcPr>
          <w:p>
            <w:pPr>
              <w:widowControl/>
              <w:jc w:val="left"/>
              <w:rPr>
                <w:rFonts w:eastAsia="宋体"/>
                <w:sz w:val="20"/>
              </w:rPr>
            </w:pPr>
          </w:p>
        </w:tc>
        <w:tc>
          <w:tcPr>
            <w:tcW w:w="10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416" w:type="dxa"/>
            <w:tcBorders>
              <w:top w:val="nil"/>
              <w:left w:val="nil"/>
              <w:bottom w:val="nil"/>
              <w:right w:val="nil"/>
            </w:tcBorders>
            <w:shd w:val="clear" w:color="auto" w:fill="auto"/>
            <w:noWrap/>
            <w:vAlign w:val="bottom"/>
          </w:tcPr>
          <w:p>
            <w:pPr>
              <w:widowControl/>
              <w:jc w:val="left"/>
              <w:rPr>
                <w:rFonts w:eastAsia="Times New Roman"/>
                <w:sz w:val="20"/>
              </w:rPr>
            </w:pPr>
          </w:p>
        </w:tc>
        <w:tc>
          <w:tcPr>
            <w:tcW w:w="1016" w:type="dxa"/>
            <w:tcBorders>
              <w:top w:val="nil"/>
              <w:left w:val="nil"/>
              <w:bottom w:val="nil"/>
              <w:right w:val="nil"/>
            </w:tcBorders>
            <w:shd w:val="clear" w:color="auto" w:fill="auto"/>
            <w:noWrap/>
            <w:vAlign w:val="bottom"/>
          </w:tcPr>
          <w:p>
            <w:pPr>
              <w:widowControl/>
              <w:jc w:val="left"/>
              <w:rPr>
                <w:rFonts w:eastAsia="Times New Roman"/>
                <w:sz w:val="20"/>
              </w:rPr>
            </w:pPr>
          </w:p>
        </w:tc>
        <w:tc>
          <w:tcPr>
            <w:tcW w:w="2016" w:type="dxa"/>
            <w:tcBorders>
              <w:top w:val="nil"/>
              <w:left w:val="nil"/>
              <w:bottom w:val="nil"/>
              <w:right w:val="nil"/>
            </w:tcBorders>
            <w:shd w:val="clear" w:color="auto" w:fill="auto"/>
            <w:noWrap/>
            <w:vAlign w:val="bottom"/>
          </w:tcPr>
          <w:p>
            <w:pPr>
              <w:widowControl/>
              <w:jc w:val="left"/>
              <w:rPr>
                <w:rFonts w:eastAsia="Times New Roman"/>
                <w:sz w:val="20"/>
              </w:rPr>
            </w:pPr>
          </w:p>
        </w:tc>
      </w:tr>
    </w:tbl>
    <w:p/>
    <w:tbl>
      <w:tblPr>
        <w:tblStyle w:val="5"/>
        <w:tblW w:w="11755" w:type="dxa"/>
        <w:jc w:val="center"/>
        <w:tblInd w:w="0" w:type="dxa"/>
        <w:tblLayout w:type="fixed"/>
        <w:tblCellMar>
          <w:top w:w="0" w:type="dxa"/>
          <w:left w:w="108" w:type="dxa"/>
          <w:bottom w:w="0" w:type="dxa"/>
          <w:right w:w="108" w:type="dxa"/>
        </w:tblCellMar>
      </w:tblPr>
      <w:tblGrid>
        <w:gridCol w:w="2816"/>
        <w:gridCol w:w="875"/>
        <w:gridCol w:w="2816"/>
        <w:gridCol w:w="616"/>
        <w:gridCol w:w="2216"/>
        <w:gridCol w:w="2416"/>
      </w:tblGrid>
      <w:tr>
        <w:tblPrEx>
          <w:tblLayout w:type="fixed"/>
          <w:tblCellMar>
            <w:top w:w="0" w:type="dxa"/>
            <w:left w:w="108" w:type="dxa"/>
            <w:bottom w:w="0" w:type="dxa"/>
            <w:right w:w="108" w:type="dxa"/>
          </w:tblCellMar>
        </w:tblPrEx>
        <w:trPr>
          <w:trHeight w:val="960" w:hRule="atLeast"/>
          <w:jc w:val="center"/>
        </w:trPr>
        <w:tc>
          <w:tcPr>
            <w:tcW w:w="11755" w:type="dxa"/>
            <w:gridSpan w:val="6"/>
            <w:tcBorders>
              <w:top w:val="nil"/>
              <w:left w:val="nil"/>
              <w:bottom w:val="nil"/>
              <w:right w:val="nil"/>
            </w:tcBorders>
            <w:shd w:val="clear" w:color="auto" w:fill="auto"/>
            <w:noWrap/>
            <w:vAlign w:val="center"/>
          </w:tcPr>
          <w:p>
            <w:pPr>
              <w:widowControl/>
              <w:jc w:val="center"/>
              <w:rPr>
                <w:rFonts w:eastAsia="方正小标宋_GBK"/>
                <w:sz w:val="36"/>
                <w:szCs w:val="36"/>
              </w:rPr>
            </w:pPr>
            <w:bookmarkStart w:id="2" w:name="RANGE!A1:F35"/>
            <w:r>
              <w:rPr>
                <w:rFonts w:eastAsia="方正小标宋_GBK"/>
                <w:sz w:val="36"/>
                <w:szCs w:val="36"/>
              </w:rPr>
              <w:t>财政拨款收入支出决算总表</w:t>
            </w:r>
            <w:bookmarkEnd w:id="2"/>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nil"/>
              <w:bottom w:val="nil"/>
              <w:right w:val="nil"/>
            </w:tcBorders>
            <w:shd w:val="clear" w:color="auto" w:fill="auto"/>
            <w:noWrap/>
            <w:vAlign w:val="center"/>
          </w:tcPr>
          <w:p>
            <w:pPr>
              <w:widowControl/>
              <w:jc w:val="center"/>
              <w:rPr>
                <w:rFonts w:eastAsia="方正小标宋_GBK"/>
                <w:sz w:val="36"/>
                <w:szCs w:val="36"/>
              </w:rPr>
            </w:pPr>
          </w:p>
        </w:tc>
        <w:tc>
          <w:tcPr>
            <w:tcW w:w="875" w:type="dxa"/>
            <w:tcBorders>
              <w:top w:val="nil"/>
              <w:left w:val="nil"/>
              <w:bottom w:val="nil"/>
              <w:right w:val="nil"/>
            </w:tcBorders>
            <w:shd w:val="clear" w:color="auto" w:fill="auto"/>
            <w:noWrap/>
            <w:vAlign w:val="center"/>
          </w:tcPr>
          <w:p>
            <w:pPr>
              <w:widowControl/>
              <w:jc w:val="left"/>
              <w:rPr>
                <w:rFonts w:eastAsia="Times New Roman"/>
                <w:sz w:val="20"/>
              </w:rPr>
            </w:pPr>
          </w:p>
        </w:tc>
        <w:tc>
          <w:tcPr>
            <w:tcW w:w="2816" w:type="dxa"/>
            <w:tcBorders>
              <w:top w:val="nil"/>
              <w:left w:val="nil"/>
              <w:bottom w:val="nil"/>
              <w:right w:val="nil"/>
            </w:tcBorders>
            <w:shd w:val="clear" w:color="auto" w:fill="auto"/>
            <w:noWrap/>
            <w:vAlign w:val="center"/>
          </w:tcPr>
          <w:p>
            <w:pPr>
              <w:widowControl/>
              <w:jc w:val="left"/>
              <w:rPr>
                <w:rFonts w:eastAsia="Times New Roman"/>
                <w:sz w:val="20"/>
              </w:rPr>
            </w:pPr>
          </w:p>
        </w:tc>
        <w:tc>
          <w:tcPr>
            <w:tcW w:w="616" w:type="dxa"/>
            <w:tcBorders>
              <w:top w:val="nil"/>
              <w:left w:val="nil"/>
              <w:bottom w:val="nil"/>
              <w:right w:val="nil"/>
            </w:tcBorders>
            <w:shd w:val="clear" w:color="auto" w:fill="auto"/>
            <w:noWrap/>
            <w:vAlign w:val="center"/>
          </w:tcPr>
          <w:p>
            <w:pPr>
              <w:widowControl/>
              <w:jc w:val="left"/>
              <w:rPr>
                <w:rFonts w:eastAsia="Times New Roman"/>
                <w:sz w:val="20"/>
              </w:rPr>
            </w:pPr>
          </w:p>
        </w:tc>
        <w:tc>
          <w:tcPr>
            <w:tcW w:w="2216" w:type="dxa"/>
            <w:tcBorders>
              <w:top w:val="nil"/>
              <w:left w:val="nil"/>
              <w:bottom w:val="nil"/>
              <w:right w:val="nil"/>
            </w:tcBorders>
            <w:shd w:val="clear" w:color="auto" w:fill="auto"/>
            <w:noWrap/>
            <w:vAlign w:val="center"/>
          </w:tcPr>
          <w:p>
            <w:pPr>
              <w:widowControl/>
              <w:jc w:val="left"/>
              <w:rPr>
                <w:rFonts w:eastAsia="Times New Roman"/>
                <w:sz w:val="20"/>
              </w:rPr>
            </w:pPr>
          </w:p>
        </w:tc>
        <w:tc>
          <w:tcPr>
            <w:tcW w:w="2416"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公开04表</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nil"/>
              <w:bottom w:val="nil"/>
              <w:right w:val="nil"/>
            </w:tcBorders>
            <w:shd w:val="clear" w:color="auto" w:fill="auto"/>
            <w:noWrap/>
            <w:vAlign w:val="center"/>
          </w:tcPr>
          <w:p>
            <w:pPr>
              <w:widowControl/>
              <w:jc w:val="left"/>
              <w:rPr>
                <w:rFonts w:eastAsia="宋体"/>
                <w:sz w:val="20"/>
              </w:rPr>
            </w:pPr>
            <w:r>
              <w:rPr>
                <w:rFonts w:eastAsia="宋体"/>
                <w:sz w:val="20"/>
              </w:rPr>
              <w:t>部门名称：</w:t>
            </w:r>
            <w:r>
              <w:rPr>
                <w:rFonts w:hint="eastAsia" w:eastAsia="宋体"/>
                <w:sz w:val="20"/>
              </w:rPr>
              <w:t>江苏传媒学校</w:t>
            </w:r>
          </w:p>
        </w:tc>
        <w:tc>
          <w:tcPr>
            <w:tcW w:w="875" w:type="dxa"/>
            <w:tcBorders>
              <w:top w:val="nil"/>
              <w:left w:val="nil"/>
              <w:bottom w:val="nil"/>
              <w:right w:val="nil"/>
            </w:tcBorders>
            <w:shd w:val="clear" w:color="auto" w:fill="auto"/>
            <w:noWrap/>
            <w:vAlign w:val="center"/>
          </w:tcPr>
          <w:p>
            <w:pPr>
              <w:widowControl/>
              <w:jc w:val="left"/>
              <w:rPr>
                <w:rFonts w:eastAsia="宋体"/>
                <w:sz w:val="20"/>
              </w:rPr>
            </w:pPr>
          </w:p>
        </w:tc>
        <w:tc>
          <w:tcPr>
            <w:tcW w:w="2816" w:type="dxa"/>
            <w:tcBorders>
              <w:top w:val="nil"/>
              <w:left w:val="nil"/>
              <w:bottom w:val="nil"/>
              <w:right w:val="nil"/>
            </w:tcBorders>
            <w:shd w:val="clear" w:color="auto" w:fill="auto"/>
            <w:noWrap/>
            <w:vAlign w:val="center"/>
          </w:tcPr>
          <w:p>
            <w:pPr>
              <w:widowControl/>
              <w:jc w:val="left"/>
              <w:rPr>
                <w:rFonts w:eastAsia="Times New Roman"/>
                <w:sz w:val="20"/>
              </w:rPr>
            </w:pPr>
          </w:p>
        </w:tc>
        <w:tc>
          <w:tcPr>
            <w:tcW w:w="616" w:type="dxa"/>
            <w:tcBorders>
              <w:top w:val="nil"/>
              <w:left w:val="nil"/>
              <w:bottom w:val="nil"/>
              <w:right w:val="nil"/>
            </w:tcBorders>
            <w:shd w:val="clear" w:color="auto" w:fill="auto"/>
            <w:noWrap/>
            <w:vAlign w:val="center"/>
          </w:tcPr>
          <w:p>
            <w:pPr>
              <w:widowControl/>
              <w:jc w:val="left"/>
              <w:rPr>
                <w:rFonts w:eastAsia="Times New Roman"/>
                <w:sz w:val="20"/>
              </w:rPr>
            </w:pPr>
          </w:p>
        </w:tc>
        <w:tc>
          <w:tcPr>
            <w:tcW w:w="2216" w:type="dxa"/>
            <w:tcBorders>
              <w:top w:val="nil"/>
              <w:left w:val="nil"/>
              <w:bottom w:val="nil"/>
              <w:right w:val="nil"/>
            </w:tcBorders>
            <w:shd w:val="clear" w:color="auto" w:fill="auto"/>
            <w:noWrap/>
            <w:vAlign w:val="center"/>
          </w:tcPr>
          <w:p>
            <w:pPr>
              <w:widowControl/>
              <w:jc w:val="center"/>
              <w:rPr>
                <w:rFonts w:eastAsia="Times New Roman"/>
                <w:sz w:val="20"/>
              </w:rPr>
            </w:pPr>
          </w:p>
        </w:tc>
        <w:tc>
          <w:tcPr>
            <w:tcW w:w="2416"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6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收     入</w:t>
            </w:r>
          </w:p>
        </w:tc>
        <w:tc>
          <w:tcPr>
            <w:tcW w:w="806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支     出</w:t>
            </w:r>
          </w:p>
        </w:tc>
      </w:tr>
      <w:tr>
        <w:tblPrEx>
          <w:tblLayout w:type="fixed"/>
          <w:tblCellMar>
            <w:top w:w="0" w:type="dxa"/>
            <w:left w:w="108" w:type="dxa"/>
            <w:bottom w:w="0" w:type="dxa"/>
            <w:right w:w="108" w:type="dxa"/>
          </w:tblCellMar>
        </w:tblPrEx>
        <w:trPr>
          <w:trHeight w:val="319" w:hRule="atLeast"/>
          <w:jc w:val="center"/>
        </w:trPr>
        <w:tc>
          <w:tcPr>
            <w:tcW w:w="28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    目</w:t>
            </w:r>
          </w:p>
        </w:tc>
        <w:tc>
          <w:tcPr>
            <w:tcW w:w="8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决算数</w:t>
            </w:r>
          </w:p>
        </w:tc>
        <w:tc>
          <w:tcPr>
            <w:tcW w:w="28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按功能分类</w:t>
            </w:r>
          </w:p>
        </w:tc>
        <w:tc>
          <w:tcPr>
            <w:tcW w:w="524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决算数</w:t>
            </w:r>
          </w:p>
        </w:tc>
      </w:tr>
      <w:tr>
        <w:tblPrEx>
          <w:tblLayout w:type="fixed"/>
          <w:tblCellMar>
            <w:top w:w="0" w:type="dxa"/>
            <w:left w:w="108" w:type="dxa"/>
            <w:bottom w:w="0" w:type="dxa"/>
            <w:right w:w="108" w:type="dxa"/>
          </w:tblCellMar>
        </w:tblPrEx>
        <w:trPr>
          <w:trHeight w:val="642" w:hRule="atLeast"/>
          <w:jc w:val="center"/>
        </w:trPr>
        <w:tc>
          <w:tcPr>
            <w:tcW w:w="281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875"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2816"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6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小计</w:t>
            </w:r>
          </w:p>
        </w:tc>
        <w:tc>
          <w:tcPr>
            <w:tcW w:w="2216"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一般公共预算财政拨款</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政府性基金预算财政拨款</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一、一般公共预算财政拨款</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1637.68</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一、一般公共服务支出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二、政府性基金预算财政拨款</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二、外交支出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三、国防支出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四、公共安全支出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五、教育支出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1471.95</w:t>
            </w: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六、科学技术支出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七、文化体育与传媒支出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八、社会保障和就业支出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137.09</w:t>
            </w: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九、医疗卫生与计划生育支出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十、节能环保支出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十一、城乡社区支出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十二、农林水支出</w:t>
            </w: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十三、交通运输支出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十四、资源勘探信息等支出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十五、商业服务业等支出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十六、金融支出</w:t>
            </w: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十七、援助其他地区支出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十八、国土海洋气象等支出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十九、住房保障支出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76.29</w:t>
            </w: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二十、粮油物资储备支出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二十一、其他支出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二十二、债务还本支出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二十三、债务付息支出</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本年收入合计</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1637.68</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本年支出合计</w:t>
            </w:r>
          </w:p>
        </w:tc>
        <w:tc>
          <w:tcPr>
            <w:tcW w:w="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b/>
                <w:bCs/>
                <w:sz w:val="20"/>
              </w:rPr>
            </w:pPr>
            <w:r>
              <w:rPr>
                <w:rFonts w:eastAsia="宋体"/>
                <w:b/>
                <w:bCs/>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b/>
                <w:bCs/>
                <w:sz w:val="20"/>
              </w:rPr>
            </w:pPr>
            <w:r>
              <w:rPr>
                <w:rFonts w:eastAsia="宋体"/>
                <w:b/>
                <w:bCs/>
                <w:sz w:val="20"/>
              </w:rPr>
              <w:t>　</w:t>
            </w:r>
            <w:r>
              <w:rPr>
                <w:rFonts w:hint="eastAsia" w:eastAsia="宋体"/>
                <w:b/>
                <w:bCs/>
                <w:sz w:val="20"/>
              </w:rPr>
              <w:t>1685.33</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b/>
                <w:bCs/>
                <w:sz w:val="20"/>
              </w:rPr>
            </w:pPr>
            <w:r>
              <w:rPr>
                <w:rFonts w:eastAsia="宋体"/>
                <w:b/>
                <w:bCs/>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年初财政拨款结转和结余</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47.65</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年末财政拨款结转和结余</w:t>
            </w:r>
          </w:p>
        </w:tc>
        <w:tc>
          <w:tcPr>
            <w:tcW w:w="6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一、一般公共预算财政拨款</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47.65</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二、政府性基金预算财政拨款</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8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总计</w:t>
            </w:r>
          </w:p>
        </w:tc>
        <w:tc>
          <w:tcPr>
            <w:tcW w:w="875"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1685.33</w:t>
            </w:r>
            <w:r>
              <w:rPr>
                <w:rFonts w:eastAsia="宋体"/>
                <w:sz w:val="20"/>
              </w:rPr>
              <w:t>　</w:t>
            </w:r>
          </w:p>
        </w:tc>
        <w:tc>
          <w:tcPr>
            <w:tcW w:w="2816"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b/>
                <w:bCs/>
                <w:sz w:val="20"/>
              </w:rPr>
            </w:pPr>
            <w:r>
              <w:rPr>
                <w:rFonts w:eastAsia="宋体"/>
                <w:b/>
                <w:bCs/>
                <w:sz w:val="20"/>
              </w:rPr>
              <w:t>总计</w:t>
            </w:r>
          </w:p>
        </w:tc>
        <w:tc>
          <w:tcPr>
            <w:tcW w:w="6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c>
          <w:tcPr>
            <w:tcW w:w="22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1685.33</w:t>
            </w:r>
            <w:r>
              <w:rPr>
                <w:rFonts w:eastAsia="宋体"/>
                <w:sz w:val="20"/>
              </w:rPr>
              <w:t>　</w:t>
            </w:r>
          </w:p>
        </w:tc>
        <w:tc>
          <w:tcPr>
            <w:tcW w:w="2416"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eastAsia="宋体"/>
                <w:sz w:val="20"/>
              </w:rPr>
              <w:t>　</w:t>
            </w:r>
          </w:p>
        </w:tc>
      </w:tr>
    </w:tbl>
    <w:p/>
    <w:p/>
    <w:p/>
    <w:p/>
    <w:p/>
    <w:p/>
    <w:p/>
    <w:p/>
    <w:tbl>
      <w:tblPr>
        <w:tblStyle w:val="5"/>
        <w:tblW w:w="11368" w:type="dxa"/>
        <w:jc w:val="center"/>
        <w:tblInd w:w="108" w:type="dxa"/>
        <w:tblLayout w:type="fixed"/>
        <w:tblCellMar>
          <w:top w:w="0" w:type="dxa"/>
          <w:left w:w="108" w:type="dxa"/>
          <w:bottom w:w="0" w:type="dxa"/>
          <w:right w:w="108" w:type="dxa"/>
        </w:tblCellMar>
      </w:tblPr>
      <w:tblGrid>
        <w:gridCol w:w="2164"/>
        <w:gridCol w:w="4309"/>
        <w:gridCol w:w="1688"/>
        <w:gridCol w:w="1281"/>
        <w:gridCol w:w="1926"/>
      </w:tblGrid>
      <w:tr>
        <w:tblPrEx>
          <w:tblLayout w:type="fixed"/>
        </w:tblPrEx>
        <w:trPr>
          <w:trHeight w:val="960" w:hRule="atLeast"/>
          <w:jc w:val="center"/>
        </w:trPr>
        <w:tc>
          <w:tcPr>
            <w:tcW w:w="11368" w:type="dxa"/>
            <w:gridSpan w:val="5"/>
            <w:tcBorders>
              <w:top w:val="nil"/>
              <w:left w:val="nil"/>
              <w:bottom w:val="nil"/>
              <w:right w:val="nil"/>
            </w:tcBorders>
            <w:shd w:val="clear" w:color="auto" w:fill="auto"/>
            <w:vAlign w:val="center"/>
          </w:tcPr>
          <w:p>
            <w:pPr>
              <w:widowControl/>
              <w:jc w:val="center"/>
              <w:rPr>
                <w:rFonts w:eastAsia="方正小标宋_GBK"/>
                <w:sz w:val="36"/>
                <w:szCs w:val="36"/>
              </w:rPr>
            </w:pPr>
            <w:bookmarkStart w:id="3" w:name="RANGE!A1:E14"/>
            <w:r>
              <w:rPr>
                <w:rFonts w:eastAsia="方正小标宋_GBK"/>
                <w:sz w:val="36"/>
                <w:szCs w:val="36"/>
              </w:rPr>
              <w:t>财政拨款支出决算表</w:t>
            </w:r>
            <w:bookmarkEnd w:id="3"/>
            <w:r>
              <w:rPr>
                <w:rFonts w:hint="eastAsia" w:eastAsia="方正小标宋_GBK"/>
                <w:sz w:val="36"/>
                <w:szCs w:val="36"/>
              </w:rPr>
              <w:t>（功能</w:t>
            </w:r>
            <w:r>
              <w:rPr>
                <w:rFonts w:eastAsia="方正小标宋_GBK"/>
                <w:sz w:val="36"/>
                <w:szCs w:val="36"/>
              </w:rPr>
              <w:t>科目）</w:t>
            </w:r>
          </w:p>
        </w:tc>
      </w:tr>
      <w:tr>
        <w:tblPrEx>
          <w:tblLayout w:type="fixed"/>
          <w:tblCellMar>
            <w:top w:w="0" w:type="dxa"/>
            <w:left w:w="108" w:type="dxa"/>
            <w:bottom w:w="0" w:type="dxa"/>
            <w:right w:w="108" w:type="dxa"/>
          </w:tblCellMar>
        </w:tblPrEx>
        <w:trPr>
          <w:trHeight w:val="960" w:hRule="atLeast"/>
          <w:jc w:val="center"/>
        </w:trPr>
        <w:tc>
          <w:tcPr>
            <w:tcW w:w="11368" w:type="dxa"/>
            <w:gridSpan w:val="5"/>
            <w:tcBorders>
              <w:top w:val="nil"/>
              <w:left w:val="nil"/>
              <w:bottom w:val="nil"/>
              <w:right w:val="nil"/>
            </w:tcBorders>
            <w:shd w:val="clear" w:color="auto" w:fill="auto"/>
            <w:vAlign w:val="center"/>
          </w:tcPr>
          <w:p>
            <w:pPr>
              <w:widowControl/>
              <w:jc w:val="center"/>
              <w:rPr>
                <w:rFonts w:eastAsia="方正小标宋_GBK"/>
                <w:sz w:val="36"/>
                <w:szCs w:val="36"/>
              </w:rPr>
            </w:pP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nil"/>
              <w:bottom w:val="nil"/>
              <w:right w:val="nil"/>
            </w:tcBorders>
            <w:shd w:val="clear" w:color="auto" w:fill="auto"/>
            <w:vAlign w:val="center"/>
          </w:tcPr>
          <w:p>
            <w:pPr>
              <w:widowControl/>
              <w:jc w:val="center"/>
              <w:rPr>
                <w:rFonts w:eastAsia="方正小标宋_GBK"/>
                <w:sz w:val="36"/>
                <w:szCs w:val="36"/>
              </w:rPr>
            </w:pPr>
          </w:p>
        </w:tc>
        <w:tc>
          <w:tcPr>
            <w:tcW w:w="4309" w:type="dxa"/>
            <w:tcBorders>
              <w:top w:val="nil"/>
              <w:left w:val="nil"/>
              <w:bottom w:val="nil"/>
              <w:right w:val="nil"/>
            </w:tcBorders>
            <w:shd w:val="clear" w:color="auto" w:fill="auto"/>
            <w:vAlign w:val="center"/>
          </w:tcPr>
          <w:p>
            <w:pPr>
              <w:widowControl/>
              <w:jc w:val="center"/>
              <w:rPr>
                <w:rFonts w:eastAsia="Times New Roman"/>
                <w:sz w:val="20"/>
              </w:rPr>
            </w:pPr>
          </w:p>
        </w:tc>
        <w:tc>
          <w:tcPr>
            <w:tcW w:w="1688" w:type="dxa"/>
            <w:tcBorders>
              <w:top w:val="nil"/>
              <w:left w:val="nil"/>
              <w:bottom w:val="nil"/>
              <w:right w:val="nil"/>
            </w:tcBorders>
            <w:shd w:val="clear" w:color="auto" w:fill="auto"/>
            <w:vAlign w:val="center"/>
          </w:tcPr>
          <w:p>
            <w:pPr>
              <w:widowControl/>
              <w:jc w:val="center"/>
              <w:rPr>
                <w:rFonts w:eastAsia="Times New Roman"/>
                <w:sz w:val="20"/>
              </w:rPr>
            </w:pPr>
          </w:p>
        </w:tc>
        <w:tc>
          <w:tcPr>
            <w:tcW w:w="1281" w:type="dxa"/>
            <w:tcBorders>
              <w:top w:val="nil"/>
              <w:left w:val="nil"/>
              <w:bottom w:val="nil"/>
              <w:right w:val="nil"/>
            </w:tcBorders>
            <w:shd w:val="clear" w:color="auto" w:fill="auto"/>
            <w:vAlign w:val="center"/>
          </w:tcPr>
          <w:p>
            <w:pPr>
              <w:widowControl/>
              <w:jc w:val="center"/>
              <w:rPr>
                <w:rFonts w:eastAsia="Times New Roman"/>
                <w:sz w:val="20"/>
              </w:rPr>
            </w:pPr>
          </w:p>
        </w:tc>
        <w:tc>
          <w:tcPr>
            <w:tcW w:w="1926"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公开05表</w:t>
            </w:r>
          </w:p>
        </w:tc>
      </w:tr>
      <w:tr>
        <w:tblPrEx>
          <w:tblLayout w:type="fixed"/>
          <w:tblCellMar>
            <w:top w:w="0" w:type="dxa"/>
            <w:left w:w="108" w:type="dxa"/>
            <w:bottom w:w="0" w:type="dxa"/>
            <w:right w:w="108" w:type="dxa"/>
          </w:tblCellMar>
        </w:tblPrEx>
        <w:trPr>
          <w:trHeight w:val="319" w:hRule="atLeast"/>
          <w:jc w:val="center"/>
        </w:trPr>
        <w:tc>
          <w:tcPr>
            <w:tcW w:w="6473" w:type="dxa"/>
            <w:gridSpan w:val="2"/>
            <w:tcBorders>
              <w:top w:val="nil"/>
              <w:left w:val="nil"/>
              <w:bottom w:val="single" w:color="auto" w:sz="4" w:space="0"/>
              <w:right w:val="nil"/>
            </w:tcBorders>
            <w:shd w:val="clear" w:color="auto" w:fill="auto"/>
            <w:vAlign w:val="center"/>
          </w:tcPr>
          <w:p>
            <w:pPr>
              <w:widowControl/>
              <w:jc w:val="left"/>
              <w:rPr>
                <w:rFonts w:eastAsia="宋体"/>
                <w:sz w:val="20"/>
              </w:rPr>
            </w:pPr>
            <w:r>
              <w:rPr>
                <w:rFonts w:eastAsia="宋体"/>
                <w:sz w:val="20"/>
              </w:rPr>
              <w:t>部门名称：</w:t>
            </w:r>
            <w:r>
              <w:rPr>
                <w:rFonts w:hint="eastAsia" w:eastAsia="宋体"/>
                <w:sz w:val="20"/>
              </w:rPr>
              <w:t>江苏传媒学校</w:t>
            </w:r>
          </w:p>
        </w:tc>
        <w:tc>
          <w:tcPr>
            <w:tcW w:w="1688" w:type="dxa"/>
            <w:tcBorders>
              <w:top w:val="nil"/>
              <w:left w:val="nil"/>
              <w:bottom w:val="nil"/>
              <w:right w:val="nil"/>
            </w:tcBorders>
            <w:shd w:val="clear" w:color="auto" w:fill="auto"/>
            <w:vAlign w:val="center"/>
          </w:tcPr>
          <w:p>
            <w:pPr>
              <w:widowControl/>
              <w:jc w:val="left"/>
              <w:rPr>
                <w:rFonts w:eastAsia="宋体"/>
                <w:sz w:val="20"/>
              </w:rPr>
            </w:pPr>
          </w:p>
        </w:tc>
        <w:tc>
          <w:tcPr>
            <w:tcW w:w="1281" w:type="dxa"/>
            <w:tcBorders>
              <w:top w:val="nil"/>
              <w:left w:val="nil"/>
              <w:bottom w:val="nil"/>
              <w:right w:val="nil"/>
            </w:tcBorders>
            <w:shd w:val="clear" w:color="auto" w:fill="auto"/>
            <w:vAlign w:val="center"/>
          </w:tcPr>
          <w:p>
            <w:pPr>
              <w:widowControl/>
              <w:jc w:val="left"/>
              <w:rPr>
                <w:rFonts w:eastAsia="Times New Roman"/>
                <w:sz w:val="20"/>
              </w:rPr>
            </w:pPr>
          </w:p>
        </w:tc>
        <w:tc>
          <w:tcPr>
            <w:tcW w:w="1926"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64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    目</w:t>
            </w:r>
          </w:p>
        </w:tc>
        <w:tc>
          <w:tcPr>
            <w:tcW w:w="1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本年支出合计</w:t>
            </w: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xml:space="preserve">基本支出  </w:t>
            </w:r>
          </w:p>
        </w:tc>
        <w:tc>
          <w:tcPr>
            <w:tcW w:w="19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项目支出</w:t>
            </w:r>
          </w:p>
        </w:tc>
      </w:tr>
      <w:tr>
        <w:tblPrEx>
          <w:tblLayout w:type="fixed"/>
          <w:tblCellMar>
            <w:top w:w="0" w:type="dxa"/>
            <w:left w:w="108" w:type="dxa"/>
            <w:bottom w:w="0" w:type="dxa"/>
            <w:right w:w="108" w:type="dxa"/>
          </w:tblCellMar>
        </w:tblPrEx>
        <w:trPr>
          <w:trHeight w:val="642"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功能分类科目编码</w:t>
            </w:r>
          </w:p>
        </w:tc>
        <w:tc>
          <w:tcPr>
            <w:tcW w:w="4309"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科目名称</w:t>
            </w:r>
          </w:p>
        </w:tc>
        <w:tc>
          <w:tcPr>
            <w:tcW w:w="16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9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64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栏次</w:t>
            </w:r>
          </w:p>
        </w:tc>
        <w:tc>
          <w:tcPr>
            <w:tcW w:w="16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1</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2</w:t>
            </w:r>
          </w:p>
        </w:tc>
        <w:tc>
          <w:tcPr>
            <w:tcW w:w="1926"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3</w:t>
            </w:r>
          </w:p>
        </w:tc>
      </w:tr>
      <w:tr>
        <w:tblPrEx>
          <w:tblLayout w:type="fixed"/>
          <w:tblCellMar>
            <w:top w:w="0" w:type="dxa"/>
            <w:left w:w="108" w:type="dxa"/>
            <w:bottom w:w="0" w:type="dxa"/>
            <w:right w:w="108" w:type="dxa"/>
          </w:tblCellMar>
        </w:tblPrEx>
        <w:trPr>
          <w:trHeight w:val="319" w:hRule="atLeast"/>
          <w:jc w:val="center"/>
        </w:trPr>
        <w:tc>
          <w:tcPr>
            <w:tcW w:w="64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合计</w:t>
            </w:r>
          </w:p>
        </w:tc>
        <w:tc>
          <w:tcPr>
            <w:tcW w:w="1688"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r>
              <w:rPr>
                <w:rFonts w:hint="eastAsia" w:eastAsia="宋体"/>
                <w:sz w:val="20"/>
              </w:rPr>
              <w:t>1685.33</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1546.66</w:t>
            </w:r>
            <w:r>
              <w:rPr>
                <w:rFonts w:eastAsia="宋体"/>
                <w:sz w:val="20"/>
              </w:rPr>
              <w:t>　</w:t>
            </w:r>
          </w:p>
        </w:tc>
        <w:tc>
          <w:tcPr>
            <w:tcW w:w="1926"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138.67</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205</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教育支出</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1471.95</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20503</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职业教育</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1471.95</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2050302</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中专教育</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0</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2050305</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高等职业教育</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208</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社会保障和就业支出</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20805</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行政事业单位离退休</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2080505</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机关事业单位基本养老保险缴费支出</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97.92</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97.92</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2080506</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机关事业单位职业年金缴费支出</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221</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住房保障支出</w:t>
            </w:r>
          </w:p>
        </w:tc>
        <w:tc>
          <w:tcPr>
            <w:tcW w:w="1688"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22102</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住房改革支出</w:t>
            </w:r>
          </w:p>
        </w:tc>
        <w:tc>
          <w:tcPr>
            <w:tcW w:w="1688" w:type="dxa"/>
            <w:tcBorders>
              <w:top w:val="nil"/>
              <w:left w:val="nil"/>
              <w:bottom w:val="single" w:color="auto" w:sz="4" w:space="0"/>
              <w:right w:val="single" w:color="auto" w:sz="4" w:space="0"/>
            </w:tcBorders>
            <w:shd w:val="clear" w:color="auto" w:fill="auto"/>
          </w:tcPr>
          <w:p>
            <w:r>
              <w:rPr>
                <w:rFonts w:hint="eastAsia" w:eastAsia="宋体"/>
                <w:sz w:val="20"/>
              </w:rPr>
              <w:t>76.29</w:t>
            </w:r>
          </w:p>
        </w:tc>
        <w:tc>
          <w:tcPr>
            <w:tcW w:w="1281" w:type="dxa"/>
            <w:tcBorders>
              <w:top w:val="nil"/>
              <w:left w:val="nil"/>
              <w:bottom w:val="single" w:color="auto" w:sz="4" w:space="0"/>
              <w:right w:val="single" w:color="auto" w:sz="4" w:space="0"/>
            </w:tcBorders>
            <w:shd w:val="clear" w:color="auto" w:fill="auto"/>
          </w:tcPr>
          <w:p>
            <w:r>
              <w:rPr>
                <w:rFonts w:hint="eastAsia" w:eastAsia="宋体"/>
                <w:sz w:val="20"/>
              </w:rPr>
              <w:t>76.29</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2210202</w:t>
            </w:r>
          </w:p>
        </w:tc>
        <w:tc>
          <w:tcPr>
            <w:tcW w:w="4309"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提租补贴</w:t>
            </w:r>
          </w:p>
        </w:tc>
        <w:tc>
          <w:tcPr>
            <w:tcW w:w="1688" w:type="dxa"/>
            <w:tcBorders>
              <w:top w:val="nil"/>
              <w:left w:val="nil"/>
              <w:bottom w:val="single" w:color="auto" w:sz="4" w:space="0"/>
              <w:right w:val="single" w:color="auto" w:sz="4" w:space="0"/>
            </w:tcBorders>
            <w:shd w:val="clear" w:color="auto" w:fill="auto"/>
          </w:tcPr>
          <w:p>
            <w:r>
              <w:rPr>
                <w:rFonts w:hint="eastAsia" w:eastAsia="宋体"/>
                <w:sz w:val="20"/>
              </w:rPr>
              <w:t>76.29</w:t>
            </w:r>
          </w:p>
        </w:tc>
        <w:tc>
          <w:tcPr>
            <w:tcW w:w="1281" w:type="dxa"/>
            <w:tcBorders>
              <w:top w:val="nil"/>
              <w:left w:val="nil"/>
              <w:bottom w:val="single" w:color="auto" w:sz="4" w:space="0"/>
              <w:right w:val="single" w:color="auto" w:sz="4" w:space="0"/>
            </w:tcBorders>
            <w:shd w:val="clear" w:color="auto" w:fill="auto"/>
          </w:tcPr>
          <w:p>
            <w:r>
              <w:rPr>
                <w:rFonts w:hint="eastAsia" w:eastAsia="宋体"/>
                <w:sz w:val="20"/>
              </w:rPr>
              <w:t>76.29</w:t>
            </w:r>
          </w:p>
        </w:tc>
        <w:tc>
          <w:tcPr>
            <w:tcW w:w="1926"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735" w:hRule="atLeast"/>
          <w:jc w:val="center"/>
        </w:trPr>
        <w:tc>
          <w:tcPr>
            <w:tcW w:w="11368" w:type="dxa"/>
            <w:gridSpan w:val="5"/>
            <w:tcBorders>
              <w:top w:val="nil"/>
              <w:left w:val="nil"/>
              <w:bottom w:val="nil"/>
              <w:right w:val="nil"/>
            </w:tcBorders>
            <w:shd w:val="clear" w:color="auto" w:fill="auto"/>
            <w:vAlign w:val="center"/>
          </w:tcPr>
          <w:p>
            <w:pPr>
              <w:widowControl/>
              <w:jc w:val="left"/>
              <w:rPr>
                <w:rFonts w:eastAsia="宋体"/>
                <w:sz w:val="20"/>
              </w:rPr>
            </w:pPr>
            <w:r>
              <w:rPr>
                <w:rFonts w:eastAsia="宋体"/>
                <w:sz w:val="20"/>
              </w:rPr>
              <w:t>注：1.本表反映部门本年度按功能分类财政拨款实际支出情况。财政拨款指一般公共预算财政拨款和政府性基金预算财政拨款。</w:t>
            </w:r>
            <w:r>
              <w:rPr>
                <w:rFonts w:eastAsia="宋体"/>
                <w:sz w:val="20"/>
              </w:rPr>
              <w:br w:type="textWrapping"/>
            </w:r>
            <w:r>
              <w:rPr>
                <w:rFonts w:eastAsia="宋体"/>
                <w:sz w:val="20"/>
              </w:rPr>
              <w:t xml:space="preserve">    2.“科目编码”和“科目名称”均为必填项。</w:t>
            </w:r>
          </w:p>
        </w:tc>
      </w:tr>
    </w:tbl>
    <w:p/>
    <w:p/>
    <w:p/>
    <w:tbl>
      <w:tblPr>
        <w:tblStyle w:val="5"/>
        <w:tblW w:w="13540" w:type="dxa"/>
        <w:jc w:val="center"/>
        <w:tblInd w:w="108" w:type="dxa"/>
        <w:tblLayout w:type="fixed"/>
        <w:tblCellMar>
          <w:top w:w="0" w:type="dxa"/>
          <w:left w:w="108" w:type="dxa"/>
          <w:bottom w:w="0" w:type="dxa"/>
          <w:right w:w="108" w:type="dxa"/>
        </w:tblCellMar>
      </w:tblPr>
      <w:tblGrid>
        <w:gridCol w:w="1340"/>
        <w:gridCol w:w="2540"/>
        <w:gridCol w:w="3220"/>
        <w:gridCol w:w="3220"/>
        <w:gridCol w:w="3220"/>
      </w:tblGrid>
      <w:tr>
        <w:tblPrEx>
          <w:tblLayout w:type="fixed"/>
          <w:tblCellMar>
            <w:top w:w="0" w:type="dxa"/>
            <w:left w:w="108" w:type="dxa"/>
            <w:bottom w:w="0" w:type="dxa"/>
            <w:right w:w="108" w:type="dxa"/>
          </w:tblCellMar>
        </w:tblPrEx>
        <w:trPr>
          <w:trHeight w:val="960" w:hRule="atLeast"/>
          <w:jc w:val="center"/>
        </w:trPr>
        <w:tc>
          <w:tcPr>
            <w:tcW w:w="13540" w:type="dxa"/>
            <w:gridSpan w:val="5"/>
            <w:tcBorders>
              <w:top w:val="nil"/>
              <w:left w:val="nil"/>
              <w:bottom w:val="nil"/>
              <w:right w:val="nil"/>
            </w:tcBorders>
            <w:shd w:val="clear" w:color="auto" w:fill="auto"/>
            <w:vAlign w:val="center"/>
          </w:tcPr>
          <w:p>
            <w:pPr>
              <w:widowControl/>
              <w:jc w:val="center"/>
              <w:rPr>
                <w:rFonts w:eastAsia="方正小标宋_GBK"/>
                <w:color w:val="000000" w:themeColor="text1"/>
                <w:sz w:val="36"/>
                <w:szCs w:val="36"/>
              </w:rPr>
            </w:pPr>
            <w:bookmarkStart w:id="4" w:name="RANGE!A1:E22"/>
            <w:r>
              <w:rPr>
                <w:rFonts w:eastAsia="方正小标宋_GBK"/>
                <w:color w:val="000000" w:themeColor="text1"/>
                <w:sz w:val="36"/>
                <w:szCs w:val="36"/>
              </w:rPr>
              <w:t>财政拨款基本支出决算表</w:t>
            </w:r>
            <w:bookmarkEnd w:id="4"/>
            <w:r>
              <w:rPr>
                <w:rFonts w:hint="eastAsia" w:eastAsia="方正小标宋_GBK"/>
                <w:color w:val="000000" w:themeColor="text1"/>
                <w:sz w:val="36"/>
                <w:szCs w:val="36"/>
              </w:rPr>
              <w:t>（</w:t>
            </w:r>
            <w:r>
              <w:rPr>
                <w:rFonts w:eastAsia="方正小标宋_GBK"/>
                <w:color w:val="000000" w:themeColor="text1"/>
                <w:sz w:val="36"/>
                <w:szCs w:val="36"/>
              </w:rPr>
              <w:t>经济科目）</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shd w:val="clear" w:color="auto" w:fill="auto"/>
            <w:vAlign w:val="center"/>
          </w:tcPr>
          <w:p>
            <w:pPr>
              <w:widowControl/>
              <w:jc w:val="center"/>
              <w:rPr>
                <w:rFonts w:eastAsia="方正小标宋_GBK"/>
                <w:sz w:val="36"/>
                <w:szCs w:val="36"/>
              </w:rPr>
            </w:pPr>
          </w:p>
        </w:tc>
        <w:tc>
          <w:tcPr>
            <w:tcW w:w="2540" w:type="dxa"/>
            <w:tcBorders>
              <w:top w:val="nil"/>
              <w:left w:val="nil"/>
              <w:bottom w:val="nil"/>
              <w:right w:val="nil"/>
            </w:tcBorders>
            <w:shd w:val="clear" w:color="auto" w:fill="auto"/>
            <w:vAlign w:val="center"/>
          </w:tcPr>
          <w:p>
            <w:pPr>
              <w:widowControl/>
              <w:jc w:val="center"/>
              <w:rPr>
                <w:rFonts w:eastAsia="Times New Roman"/>
                <w:sz w:val="20"/>
              </w:rPr>
            </w:pPr>
          </w:p>
        </w:tc>
        <w:tc>
          <w:tcPr>
            <w:tcW w:w="3220" w:type="dxa"/>
            <w:tcBorders>
              <w:top w:val="nil"/>
              <w:left w:val="nil"/>
              <w:bottom w:val="nil"/>
              <w:right w:val="nil"/>
            </w:tcBorders>
            <w:shd w:val="clear" w:color="auto" w:fill="auto"/>
            <w:vAlign w:val="center"/>
          </w:tcPr>
          <w:p>
            <w:pPr>
              <w:widowControl/>
              <w:jc w:val="center"/>
              <w:rPr>
                <w:rFonts w:eastAsia="Times New Roman"/>
                <w:sz w:val="20"/>
              </w:rPr>
            </w:pPr>
          </w:p>
        </w:tc>
        <w:tc>
          <w:tcPr>
            <w:tcW w:w="3220" w:type="dxa"/>
            <w:tcBorders>
              <w:top w:val="nil"/>
              <w:left w:val="nil"/>
              <w:bottom w:val="nil"/>
              <w:right w:val="nil"/>
            </w:tcBorders>
            <w:shd w:val="clear" w:color="auto" w:fill="auto"/>
            <w:vAlign w:val="center"/>
          </w:tcPr>
          <w:p>
            <w:pPr>
              <w:widowControl/>
              <w:jc w:val="center"/>
              <w:rPr>
                <w:rFonts w:eastAsia="Times New Roman"/>
                <w:sz w:val="20"/>
              </w:rPr>
            </w:pPr>
          </w:p>
        </w:tc>
        <w:tc>
          <w:tcPr>
            <w:tcW w:w="3220" w:type="dxa"/>
            <w:tcBorders>
              <w:top w:val="nil"/>
              <w:left w:val="nil"/>
              <w:bottom w:val="nil"/>
              <w:right w:val="nil"/>
            </w:tcBorders>
            <w:shd w:val="clear" w:color="auto" w:fill="auto"/>
            <w:vAlign w:val="center"/>
          </w:tcPr>
          <w:p>
            <w:pPr>
              <w:widowControl/>
              <w:jc w:val="right"/>
              <w:rPr>
                <w:rFonts w:eastAsia="宋体"/>
                <w:sz w:val="20"/>
              </w:rPr>
            </w:pPr>
            <w:r>
              <w:rPr>
                <w:rFonts w:eastAsia="宋体"/>
                <w:sz w:val="20"/>
              </w:rPr>
              <w:t>公开06表</w:t>
            </w:r>
          </w:p>
        </w:tc>
      </w:tr>
      <w:tr>
        <w:tblPrEx>
          <w:tblLayout w:type="fixed"/>
          <w:tblCellMar>
            <w:top w:w="0" w:type="dxa"/>
            <w:left w:w="108" w:type="dxa"/>
            <w:bottom w:w="0" w:type="dxa"/>
            <w:right w:w="108" w:type="dxa"/>
          </w:tblCellMar>
        </w:tblPrEx>
        <w:trPr>
          <w:trHeight w:val="319" w:hRule="atLeast"/>
          <w:jc w:val="center"/>
        </w:trPr>
        <w:tc>
          <w:tcPr>
            <w:tcW w:w="3880" w:type="dxa"/>
            <w:gridSpan w:val="2"/>
            <w:tcBorders>
              <w:top w:val="nil"/>
              <w:left w:val="nil"/>
              <w:bottom w:val="single" w:color="auto" w:sz="4" w:space="0"/>
              <w:right w:val="nil"/>
            </w:tcBorders>
            <w:shd w:val="clear" w:color="auto" w:fill="auto"/>
            <w:vAlign w:val="center"/>
          </w:tcPr>
          <w:p>
            <w:pPr>
              <w:widowControl/>
              <w:jc w:val="left"/>
              <w:rPr>
                <w:rFonts w:eastAsia="宋体"/>
                <w:sz w:val="20"/>
              </w:rPr>
            </w:pPr>
            <w:r>
              <w:rPr>
                <w:rFonts w:eastAsia="宋体"/>
                <w:sz w:val="20"/>
              </w:rPr>
              <w:t>部门名称：</w:t>
            </w:r>
            <w:r>
              <w:rPr>
                <w:rFonts w:hint="eastAsia" w:eastAsia="宋体"/>
                <w:sz w:val="20"/>
              </w:rPr>
              <w:t>江苏传媒学校</w:t>
            </w:r>
          </w:p>
        </w:tc>
        <w:tc>
          <w:tcPr>
            <w:tcW w:w="3220" w:type="dxa"/>
            <w:tcBorders>
              <w:top w:val="nil"/>
              <w:left w:val="nil"/>
              <w:bottom w:val="nil"/>
              <w:right w:val="nil"/>
            </w:tcBorders>
            <w:shd w:val="clear" w:color="auto" w:fill="auto"/>
            <w:vAlign w:val="center"/>
          </w:tcPr>
          <w:p>
            <w:pPr>
              <w:widowControl/>
              <w:jc w:val="left"/>
              <w:rPr>
                <w:rFonts w:eastAsia="宋体"/>
                <w:sz w:val="20"/>
              </w:rPr>
            </w:pPr>
          </w:p>
        </w:tc>
        <w:tc>
          <w:tcPr>
            <w:tcW w:w="3220" w:type="dxa"/>
            <w:tcBorders>
              <w:top w:val="nil"/>
              <w:left w:val="nil"/>
              <w:bottom w:val="nil"/>
              <w:right w:val="nil"/>
            </w:tcBorders>
            <w:shd w:val="clear" w:color="auto" w:fill="auto"/>
            <w:vAlign w:val="center"/>
          </w:tcPr>
          <w:p>
            <w:pPr>
              <w:widowControl/>
              <w:jc w:val="left"/>
              <w:rPr>
                <w:rFonts w:eastAsia="Times New Roman"/>
                <w:sz w:val="20"/>
              </w:rPr>
            </w:pPr>
          </w:p>
        </w:tc>
        <w:tc>
          <w:tcPr>
            <w:tcW w:w="3220" w:type="dxa"/>
            <w:tcBorders>
              <w:top w:val="nil"/>
              <w:left w:val="nil"/>
              <w:bottom w:val="nil"/>
              <w:right w:val="nil"/>
            </w:tcBorders>
            <w:shd w:val="clear" w:color="auto" w:fill="auto"/>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    目</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人员经费</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日常公用经费</w:t>
            </w:r>
          </w:p>
        </w:tc>
      </w:tr>
      <w:tr>
        <w:tblPrEx>
          <w:tblLayout w:type="fixed"/>
          <w:tblCellMar>
            <w:top w:w="0" w:type="dxa"/>
            <w:left w:w="108" w:type="dxa"/>
            <w:bottom w:w="0" w:type="dxa"/>
            <w:right w:w="108" w:type="dxa"/>
          </w:tblCellMar>
        </w:tblPrEx>
        <w:trPr>
          <w:trHeight w:val="319" w:hRule="atLeast"/>
          <w:jc w:val="center"/>
        </w:trPr>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经济分类科目编码</w:t>
            </w:r>
          </w:p>
        </w:tc>
        <w:tc>
          <w:tcPr>
            <w:tcW w:w="25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科目名称</w:t>
            </w: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254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2" w:hRule="atLeast"/>
          <w:jc w:val="center"/>
        </w:trPr>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254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合计</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1546.66</w:t>
            </w: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r>
              <w:rPr>
                <w:rFonts w:hint="eastAsia" w:eastAsia="宋体"/>
                <w:sz w:val="20"/>
              </w:rPr>
              <w:t>1245.21</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301.45</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301</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工资福利支出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1141.8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1141.8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30101</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基本工资</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173.9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173.9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30102</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津贴补贴</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81.16</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81.16</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30107</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绩效工资</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402.7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402.7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hint="eastAsia" w:eastAsia="宋体"/>
                <w:sz w:val="20"/>
              </w:rPr>
              <w:t>30108</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机关事业单位基本养老保险费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97.92</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97.92</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hint="eastAsia" w:eastAsia="宋体"/>
                <w:sz w:val="20"/>
              </w:rPr>
              <w:t>30109</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职业年金缴费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hint="eastAsia" w:eastAsia="宋体"/>
                <w:sz w:val="20"/>
              </w:rPr>
              <w:t>30114</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医疗费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4.67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4.67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hint="eastAsia" w:eastAsia="宋体"/>
                <w:sz w:val="20"/>
              </w:rPr>
              <w:t>30199</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其他工资福利支出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338.75</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338.75</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302</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商品和服务支出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286.81</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286.81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30201</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办公费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4.22</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4.22</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2</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印刷费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4</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手续费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0.04</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5</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水费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7.61</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6</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电费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31.66</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31.66</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7</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邮电费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6.77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6.77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11</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差旅费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10.31</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10.31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13</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维修（护）费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55.57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55.57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16</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培训费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18</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专用材料费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7.78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7.78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26</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劳务费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51.14</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51.14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27</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委托业务费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13.01</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13.01</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29</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福利费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23.20</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23.20</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31</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公务用车运行维护费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0.97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0.97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39</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其他交通费用</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2.58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2.58</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99</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其他商品和服务支出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63.93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63.93</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303</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对个人和家庭的补助</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103.41</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103.41</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30301</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离休费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25.86</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25.86</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3030</w:t>
            </w:r>
            <w:r>
              <w:rPr>
                <w:rFonts w:hint="eastAsia" w:eastAsia="宋体"/>
                <w:sz w:val="20"/>
              </w:rPr>
              <w:t>2</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退休费</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3030</w:t>
            </w:r>
            <w:r>
              <w:rPr>
                <w:rFonts w:hint="eastAsia" w:eastAsia="宋体"/>
                <w:sz w:val="20"/>
              </w:rPr>
              <w:t>4</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抚恤金</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tcPr>
          <w:p>
            <w:r>
              <w:rPr>
                <w:rFonts w:eastAsia="宋体"/>
                <w:sz w:val="20"/>
              </w:rPr>
              <w:t>3030</w:t>
            </w:r>
            <w:r>
              <w:rPr>
                <w:rFonts w:hint="eastAsia" w:eastAsia="宋体"/>
                <w:sz w:val="20"/>
              </w:rPr>
              <w:t>5</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生活补助</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1.23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1.23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310</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其他资本性支出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31002</w:t>
            </w:r>
          </w:p>
        </w:tc>
        <w:tc>
          <w:tcPr>
            <w:tcW w:w="254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办公设备购置</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r>
      <w:tr>
        <w:tblPrEx>
          <w:tblLayout w:type="fixed"/>
          <w:tblCellMar>
            <w:top w:w="0" w:type="dxa"/>
            <w:left w:w="108" w:type="dxa"/>
            <w:bottom w:w="0" w:type="dxa"/>
            <w:right w:w="108" w:type="dxa"/>
          </w:tblCellMar>
        </w:tblPrEx>
        <w:trPr>
          <w:trHeight w:val="510" w:hRule="atLeast"/>
          <w:jc w:val="center"/>
        </w:trPr>
        <w:tc>
          <w:tcPr>
            <w:tcW w:w="13540" w:type="dxa"/>
            <w:gridSpan w:val="5"/>
            <w:tcBorders>
              <w:top w:val="nil"/>
              <w:left w:val="nil"/>
              <w:bottom w:val="nil"/>
              <w:right w:val="nil"/>
            </w:tcBorders>
            <w:shd w:val="clear" w:color="auto" w:fill="auto"/>
            <w:vAlign w:val="center"/>
          </w:tcPr>
          <w:p>
            <w:pPr>
              <w:widowControl/>
              <w:jc w:val="left"/>
              <w:rPr>
                <w:rFonts w:eastAsia="宋体"/>
                <w:sz w:val="20"/>
              </w:rPr>
            </w:pPr>
            <w:r>
              <w:rPr>
                <w:rFonts w:eastAsia="宋体"/>
                <w:sz w:val="20"/>
              </w:rPr>
              <w:t>注：1.本表反映部门本年度按经济分类财政拨款基本支出明细情况。财政拨款指一般公共预算财政拨款和政府性基金预算财政拨款。</w:t>
            </w:r>
            <w:r>
              <w:rPr>
                <w:rFonts w:eastAsia="宋体"/>
                <w:sz w:val="20"/>
              </w:rPr>
              <w:br w:type="textWrapping"/>
            </w:r>
            <w:r>
              <w:rPr>
                <w:rFonts w:eastAsia="宋体"/>
                <w:sz w:val="20"/>
              </w:rPr>
              <w:t xml:space="preserve">    2.“科目编码”和“科目名称”均为必填项。</w:t>
            </w:r>
          </w:p>
        </w:tc>
      </w:tr>
    </w:tbl>
    <w:p/>
    <w:tbl>
      <w:tblPr>
        <w:tblStyle w:val="5"/>
        <w:tblW w:w="13180" w:type="dxa"/>
        <w:jc w:val="center"/>
        <w:tblInd w:w="108" w:type="dxa"/>
        <w:tblLayout w:type="fixed"/>
        <w:tblCellMar>
          <w:top w:w="0" w:type="dxa"/>
          <w:left w:w="108" w:type="dxa"/>
          <w:bottom w:w="0" w:type="dxa"/>
          <w:right w:w="108" w:type="dxa"/>
        </w:tblCellMar>
      </w:tblPr>
      <w:tblGrid>
        <w:gridCol w:w="1340"/>
        <w:gridCol w:w="2180"/>
        <w:gridCol w:w="3220"/>
        <w:gridCol w:w="3220"/>
        <w:gridCol w:w="3220"/>
      </w:tblGrid>
      <w:tr>
        <w:tblPrEx>
          <w:tblLayout w:type="fixed"/>
          <w:tblCellMar>
            <w:top w:w="0" w:type="dxa"/>
            <w:left w:w="108" w:type="dxa"/>
            <w:bottom w:w="0" w:type="dxa"/>
            <w:right w:w="108" w:type="dxa"/>
          </w:tblCellMar>
        </w:tblPrEx>
        <w:trPr>
          <w:trHeight w:val="960" w:hRule="atLeast"/>
          <w:jc w:val="center"/>
        </w:trPr>
        <w:tc>
          <w:tcPr>
            <w:tcW w:w="13180" w:type="dxa"/>
            <w:gridSpan w:val="5"/>
            <w:tcBorders>
              <w:top w:val="nil"/>
              <w:left w:val="nil"/>
              <w:bottom w:val="nil"/>
              <w:right w:val="nil"/>
            </w:tcBorders>
            <w:shd w:val="clear" w:color="auto" w:fill="auto"/>
            <w:vAlign w:val="center"/>
          </w:tcPr>
          <w:p>
            <w:pPr>
              <w:widowControl/>
              <w:jc w:val="center"/>
              <w:rPr>
                <w:rFonts w:eastAsia="方正小标宋_GBK"/>
                <w:sz w:val="40"/>
                <w:szCs w:val="40"/>
              </w:rPr>
            </w:pPr>
            <w:r>
              <w:rPr>
                <w:rFonts w:eastAsia="方正小标宋_GBK"/>
                <w:sz w:val="40"/>
                <w:szCs w:val="40"/>
              </w:rPr>
              <w:t>一般公共预算财政拨款支出决算表</w:t>
            </w:r>
            <w:r>
              <w:rPr>
                <w:rFonts w:hint="eastAsia" w:eastAsia="方正小标宋_GBK"/>
                <w:sz w:val="40"/>
                <w:szCs w:val="40"/>
              </w:rPr>
              <w:t>（</w:t>
            </w:r>
            <w:r>
              <w:rPr>
                <w:rFonts w:eastAsia="方正小标宋_GBK"/>
                <w:sz w:val="40"/>
                <w:szCs w:val="40"/>
              </w:rPr>
              <w:t>功能科目）</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nil"/>
              <w:bottom w:val="nil"/>
              <w:right w:val="nil"/>
            </w:tcBorders>
            <w:shd w:val="clear" w:color="auto" w:fill="auto"/>
            <w:vAlign w:val="center"/>
          </w:tcPr>
          <w:p>
            <w:pPr>
              <w:widowControl/>
              <w:jc w:val="center"/>
              <w:rPr>
                <w:rFonts w:eastAsia="方正小标宋_GBK"/>
                <w:sz w:val="40"/>
                <w:szCs w:val="40"/>
              </w:rPr>
            </w:pPr>
          </w:p>
        </w:tc>
        <w:tc>
          <w:tcPr>
            <w:tcW w:w="2180" w:type="dxa"/>
            <w:tcBorders>
              <w:top w:val="nil"/>
              <w:left w:val="nil"/>
              <w:bottom w:val="nil"/>
              <w:right w:val="nil"/>
            </w:tcBorders>
            <w:shd w:val="clear" w:color="auto" w:fill="auto"/>
            <w:vAlign w:val="center"/>
          </w:tcPr>
          <w:p>
            <w:pPr>
              <w:widowControl/>
              <w:jc w:val="center"/>
              <w:rPr>
                <w:rFonts w:eastAsia="Times New Roman"/>
                <w:sz w:val="20"/>
              </w:rPr>
            </w:pPr>
          </w:p>
        </w:tc>
        <w:tc>
          <w:tcPr>
            <w:tcW w:w="3220" w:type="dxa"/>
            <w:tcBorders>
              <w:top w:val="nil"/>
              <w:left w:val="nil"/>
              <w:bottom w:val="nil"/>
              <w:right w:val="nil"/>
            </w:tcBorders>
            <w:shd w:val="clear" w:color="auto" w:fill="auto"/>
            <w:vAlign w:val="center"/>
          </w:tcPr>
          <w:p>
            <w:pPr>
              <w:widowControl/>
              <w:jc w:val="center"/>
              <w:rPr>
                <w:rFonts w:eastAsia="Times New Roman"/>
                <w:sz w:val="20"/>
              </w:rPr>
            </w:pPr>
          </w:p>
        </w:tc>
        <w:tc>
          <w:tcPr>
            <w:tcW w:w="3220" w:type="dxa"/>
            <w:tcBorders>
              <w:top w:val="nil"/>
              <w:left w:val="nil"/>
              <w:bottom w:val="nil"/>
              <w:right w:val="nil"/>
            </w:tcBorders>
            <w:shd w:val="clear" w:color="auto" w:fill="auto"/>
            <w:vAlign w:val="center"/>
          </w:tcPr>
          <w:p>
            <w:pPr>
              <w:widowControl/>
              <w:jc w:val="center"/>
              <w:rPr>
                <w:rFonts w:eastAsia="Times New Roman"/>
                <w:sz w:val="20"/>
              </w:rPr>
            </w:pPr>
          </w:p>
        </w:tc>
        <w:tc>
          <w:tcPr>
            <w:tcW w:w="3220"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公开07表</w:t>
            </w:r>
          </w:p>
        </w:tc>
      </w:tr>
      <w:tr>
        <w:tblPrEx>
          <w:tblLayout w:type="fixed"/>
          <w:tblCellMar>
            <w:top w:w="0" w:type="dxa"/>
            <w:left w:w="108" w:type="dxa"/>
            <w:bottom w:w="0" w:type="dxa"/>
            <w:right w:w="108" w:type="dxa"/>
          </w:tblCellMar>
        </w:tblPrEx>
        <w:trPr>
          <w:trHeight w:val="319" w:hRule="atLeast"/>
          <w:jc w:val="center"/>
        </w:trPr>
        <w:tc>
          <w:tcPr>
            <w:tcW w:w="3520" w:type="dxa"/>
            <w:gridSpan w:val="2"/>
            <w:tcBorders>
              <w:top w:val="nil"/>
              <w:left w:val="nil"/>
              <w:bottom w:val="single" w:color="auto" w:sz="4" w:space="0"/>
              <w:right w:val="nil"/>
            </w:tcBorders>
            <w:shd w:val="clear" w:color="auto" w:fill="auto"/>
            <w:vAlign w:val="center"/>
          </w:tcPr>
          <w:p>
            <w:pPr>
              <w:widowControl/>
              <w:jc w:val="left"/>
              <w:rPr>
                <w:rFonts w:eastAsia="宋体"/>
                <w:sz w:val="20"/>
              </w:rPr>
            </w:pPr>
            <w:r>
              <w:rPr>
                <w:rFonts w:eastAsia="宋体"/>
                <w:sz w:val="20"/>
              </w:rPr>
              <w:t>部门名称：</w:t>
            </w:r>
            <w:r>
              <w:rPr>
                <w:rFonts w:hint="eastAsia" w:eastAsia="宋体"/>
                <w:sz w:val="20"/>
              </w:rPr>
              <w:t>江苏传媒学校</w:t>
            </w:r>
          </w:p>
        </w:tc>
        <w:tc>
          <w:tcPr>
            <w:tcW w:w="3220" w:type="dxa"/>
            <w:tcBorders>
              <w:top w:val="nil"/>
              <w:left w:val="nil"/>
              <w:bottom w:val="nil"/>
              <w:right w:val="nil"/>
            </w:tcBorders>
            <w:shd w:val="clear" w:color="auto" w:fill="auto"/>
            <w:vAlign w:val="center"/>
          </w:tcPr>
          <w:p>
            <w:pPr>
              <w:widowControl/>
              <w:jc w:val="left"/>
              <w:rPr>
                <w:rFonts w:eastAsia="宋体"/>
                <w:sz w:val="20"/>
              </w:rPr>
            </w:pPr>
          </w:p>
        </w:tc>
        <w:tc>
          <w:tcPr>
            <w:tcW w:w="3220" w:type="dxa"/>
            <w:tcBorders>
              <w:top w:val="nil"/>
              <w:left w:val="nil"/>
              <w:bottom w:val="nil"/>
              <w:right w:val="nil"/>
            </w:tcBorders>
            <w:shd w:val="clear" w:color="auto" w:fill="auto"/>
            <w:vAlign w:val="center"/>
          </w:tcPr>
          <w:p>
            <w:pPr>
              <w:widowControl/>
              <w:jc w:val="left"/>
              <w:rPr>
                <w:rFonts w:eastAsia="Times New Roman"/>
                <w:sz w:val="20"/>
              </w:rPr>
            </w:pPr>
          </w:p>
        </w:tc>
        <w:tc>
          <w:tcPr>
            <w:tcW w:w="3220"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    目</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本年支出合计</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xml:space="preserve">基本支出  </w:t>
            </w:r>
          </w:p>
        </w:tc>
        <w:tc>
          <w:tcPr>
            <w:tcW w:w="3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项目支出</w:t>
            </w:r>
          </w:p>
        </w:tc>
      </w:tr>
      <w:tr>
        <w:tblPrEx>
          <w:tblLayout w:type="fixed"/>
          <w:tblCellMar>
            <w:top w:w="0" w:type="dxa"/>
            <w:left w:w="108" w:type="dxa"/>
            <w:bottom w:w="0" w:type="dxa"/>
            <w:right w:w="108" w:type="dxa"/>
          </w:tblCellMar>
        </w:tblPrEx>
        <w:trPr>
          <w:trHeight w:val="642"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功能分类科目编码</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科目名称</w:t>
            </w: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栏次</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1</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2</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3</w:t>
            </w:r>
          </w:p>
        </w:tc>
      </w:tr>
      <w:tr>
        <w:tblPrEx>
          <w:tblLayout w:type="fixed"/>
          <w:tblCellMar>
            <w:top w:w="0" w:type="dxa"/>
            <w:left w:w="108" w:type="dxa"/>
            <w:bottom w:w="0" w:type="dxa"/>
            <w:right w:w="108" w:type="dxa"/>
          </w:tblCellMar>
        </w:tblPrEx>
        <w:trPr>
          <w:trHeight w:val="319" w:hRule="atLeast"/>
          <w:jc w:val="center"/>
        </w:trPr>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合计</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r>
              <w:rPr>
                <w:rFonts w:hint="eastAsia" w:eastAsia="宋体"/>
                <w:sz w:val="20"/>
              </w:rPr>
              <w:t>1685.33</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1546.66</w:t>
            </w: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138.67</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205</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教育支出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1471.95</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20503</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职业教育</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1471.95</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2050302</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中专教育</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138.67</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2050305</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高等职业教育</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1333.28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208</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社会保障和就业支出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20805</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行政事业单位离退休</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137.09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2080505</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机关事业单位基本养老保险缴费支出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97.92</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97.92</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2080506</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机关事业单位职业年金缴费支出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221</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住房保障支出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22102</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b/>
                <w:bCs/>
                <w:sz w:val="20"/>
                <w:szCs w:val="20"/>
              </w:rPr>
            </w:pPr>
            <w:r>
              <w:rPr>
                <w:rFonts w:hint="eastAsia" w:cs="Arial"/>
                <w:b/>
                <w:bCs/>
                <w:sz w:val="20"/>
                <w:szCs w:val="20"/>
              </w:rPr>
              <w:t>住房改革支出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2210202</w:t>
            </w:r>
          </w:p>
        </w:tc>
        <w:tc>
          <w:tcPr>
            <w:tcW w:w="2180" w:type="dxa"/>
            <w:tcBorders>
              <w:top w:val="nil"/>
              <w:left w:val="nil"/>
              <w:bottom w:val="single" w:color="auto" w:sz="4" w:space="0"/>
              <w:right w:val="single" w:color="auto" w:sz="4" w:space="0"/>
            </w:tcBorders>
            <w:shd w:val="clear" w:color="auto" w:fill="auto"/>
            <w:vAlign w:val="center"/>
          </w:tcPr>
          <w:p>
            <w:pPr>
              <w:rPr>
                <w:rFonts w:ascii="宋体" w:hAnsi="宋体" w:eastAsia="宋体" w:cs="Arial"/>
                <w:sz w:val="20"/>
                <w:szCs w:val="20"/>
              </w:rPr>
            </w:pPr>
            <w:r>
              <w:rPr>
                <w:rFonts w:hint="eastAsia" w:cs="Arial"/>
                <w:sz w:val="20"/>
                <w:szCs w:val="20"/>
              </w:rPr>
              <w:t xml:space="preserve">  提租补贴</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76.29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615" w:hRule="atLeast"/>
          <w:jc w:val="center"/>
        </w:trPr>
        <w:tc>
          <w:tcPr>
            <w:tcW w:w="13180" w:type="dxa"/>
            <w:gridSpan w:val="5"/>
            <w:tcBorders>
              <w:top w:val="nil"/>
              <w:left w:val="nil"/>
              <w:bottom w:val="nil"/>
              <w:right w:val="nil"/>
            </w:tcBorders>
            <w:shd w:val="clear" w:color="auto" w:fill="auto"/>
            <w:vAlign w:val="center"/>
          </w:tcPr>
          <w:p>
            <w:pPr>
              <w:widowControl/>
              <w:jc w:val="left"/>
              <w:rPr>
                <w:rFonts w:eastAsia="宋体"/>
                <w:sz w:val="20"/>
              </w:rPr>
            </w:pPr>
            <w:r>
              <w:rPr>
                <w:rFonts w:eastAsia="宋体"/>
                <w:sz w:val="20"/>
              </w:rPr>
              <w:t>注：1.本表反映部门本年度按功能分类一般公共预算财政拨款实际支出情况。</w:t>
            </w:r>
            <w:r>
              <w:rPr>
                <w:rFonts w:eastAsia="宋体"/>
                <w:sz w:val="20"/>
              </w:rPr>
              <w:br w:type="textWrapping"/>
            </w:r>
            <w:r>
              <w:rPr>
                <w:rFonts w:eastAsia="宋体"/>
                <w:sz w:val="20"/>
              </w:rPr>
              <w:t xml:space="preserve">    2.“科目编码”和“科目名称”均为必填项。</w:t>
            </w:r>
          </w:p>
        </w:tc>
      </w:tr>
    </w:tbl>
    <w:p/>
    <w:p/>
    <w:tbl>
      <w:tblPr>
        <w:tblStyle w:val="5"/>
        <w:tblW w:w="13540" w:type="dxa"/>
        <w:jc w:val="center"/>
        <w:tblInd w:w="108" w:type="dxa"/>
        <w:tblLayout w:type="fixed"/>
        <w:tblCellMar>
          <w:top w:w="0" w:type="dxa"/>
          <w:left w:w="108" w:type="dxa"/>
          <w:bottom w:w="0" w:type="dxa"/>
          <w:right w:w="108" w:type="dxa"/>
        </w:tblCellMar>
      </w:tblPr>
      <w:tblGrid>
        <w:gridCol w:w="1180"/>
        <w:gridCol w:w="160"/>
        <w:gridCol w:w="2380"/>
        <w:gridCol w:w="160"/>
        <w:gridCol w:w="3060"/>
        <w:gridCol w:w="160"/>
        <w:gridCol w:w="3060"/>
        <w:gridCol w:w="160"/>
        <w:gridCol w:w="3060"/>
        <w:gridCol w:w="160"/>
      </w:tblGrid>
      <w:tr>
        <w:tblPrEx>
          <w:tblLayout w:type="fixed"/>
          <w:tblCellMar>
            <w:top w:w="0" w:type="dxa"/>
            <w:left w:w="108" w:type="dxa"/>
            <w:bottom w:w="0" w:type="dxa"/>
            <w:right w:w="108" w:type="dxa"/>
          </w:tblCellMar>
        </w:tblPrEx>
        <w:trPr>
          <w:gridAfter w:val="1"/>
          <w:wAfter w:w="160" w:type="dxa"/>
          <w:trHeight w:val="960" w:hRule="atLeast"/>
          <w:jc w:val="center"/>
        </w:trPr>
        <w:tc>
          <w:tcPr>
            <w:tcW w:w="13380" w:type="dxa"/>
            <w:gridSpan w:val="9"/>
            <w:tcBorders>
              <w:top w:val="nil"/>
              <w:left w:val="nil"/>
              <w:bottom w:val="nil"/>
              <w:right w:val="nil"/>
            </w:tcBorders>
            <w:shd w:val="clear" w:color="auto" w:fill="auto"/>
            <w:vAlign w:val="center"/>
          </w:tcPr>
          <w:p>
            <w:pPr>
              <w:widowControl/>
              <w:jc w:val="center"/>
              <w:rPr>
                <w:rFonts w:eastAsia="方正小标宋_GBK"/>
                <w:sz w:val="36"/>
                <w:szCs w:val="36"/>
              </w:rPr>
            </w:pPr>
            <w:r>
              <w:rPr>
                <w:rFonts w:eastAsia="方正小标宋_GBK"/>
                <w:sz w:val="36"/>
                <w:szCs w:val="36"/>
              </w:rPr>
              <w:t>一般公共预算财政拨款基本支出决算表</w:t>
            </w:r>
            <w:r>
              <w:rPr>
                <w:rFonts w:hint="eastAsia" w:eastAsia="方正小标宋_GBK"/>
                <w:sz w:val="36"/>
                <w:szCs w:val="36"/>
              </w:rPr>
              <w:t>（</w:t>
            </w:r>
            <w:r>
              <w:rPr>
                <w:rFonts w:eastAsia="方正小标宋_GBK"/>
                <w:sz w:val="36"/>
                <w:szCs w:val="36"/>
              </w:rPr>
              <w:t>经济科目）</w:t>
            </w:r>
          </w:p>
        </w:tc>
      </w:tr>
      <w:tr>
        <w:tblPrEx>
          <w:tblLayout w:type="fixed"/>
        </w:tblPrEx>
        <w:trPr>
          <w:gridAfter w:val="1"/>
          <w:wAfter w:w="160" w:type="dxa"/>
          <w:trHeight w:val="319" w:hRule="atLeast"/>
          <w:jc w:val="center"/>
        </w:trPr>
        <w:tc>
          <w:tcPr>
            <w:tcW w:w="1180" w:type="dxa"/>
            <w:tcBorders>
              <w:top w:val="nil"/>
              <w:left w:val="nil"/>
              <w:bottom w:val="nil"/>
              <w:right w:val="nil"/>
            </w:tcBorders>
            <w:shd w:val="clear" w:color="auto" w:fill="auto"/>
            <w:vAlign w:val="center"/>
          </w:tcPr>
          <w:p>
            <w:pPr>
              <w:widowControl/>
              <w:jc w:val="center"/>
              <w:rPr>
                <w:rFonts w:eastAsia="方正小标宋_GBK"/>
                <w:sz w:val="36"/>
                <w:szCs w:val="36"/>
              </w:rPr>
            </w:pPr>
          </w:p>
        </w:tc>
        <w:tc>
          <w:tcPr>
            <w:tcW w:w="2540" w:type="dxa"/>
            <w:gridSpan w:val="2"/>
            <w:tcBorders>
              <w:top w:val="nil"/>
              <w:left w:val="nil"/>
              <w:bottom w:val="nil"/>
              <w:right w:val="nil"/>
            </w:tcBorders>
            <w:shd w:val="clear" w:color="auto" w:fill="auto"/>
            <w:vAlign w:val="center"/>
          </w:tcPr>
          <w:p>
            <w:pPr>
              <w:widowControl/>
              <w:jc w:val="center"/>
              <w:rPr>
                <w:rFonts w:eastAsia="Times New Roman"/>
                <w:sz w:val="20"/>
              </w:rPr>
            </w:pPr>
          </w:p>
        </w:tc>
        <w:tc>
          <w:tcPr>
            <w:tcW w:w="3220" w:type="dxa"/>
            <w:gridSpan w:val="2"/>
            <w:tcBorders>
              <w:top w:val="nil"/>
              <w:left w:val="nil"/>
              <w:bottom w:val="nil"/>
              <w:right w:val="nil"/>
            </w:tcBorders>
            <w:shd w:val="clear" w:color="auto" w:fill="auto"/>
            <w:vAlign w:val="center"/>
          </w:tcPr>
          <w:p>
            <w:pPr>
              <w:widowControl/>
              <w:jc w:val="center"/>
              <w:rPr>
                <w:rFonts w:eastAsia="Times New Roman"/>
                <w:sz w:val="20"/>
              </w:rPr>
            </w:pPr>
          </w:p>
        </w:tc>
        <w:tc>
          <w:tcPr>
            <w:tcW w:w="3220" w:type="dxa"/>
            <w:gridSpan w:val="2"/>
            <w:tcBorders>
              <w:top w:val="nil"/>
              <w:left w:val="nil"/>
              <w:bottom w:val="nil"/>
              <w:right w:val="nil"/>
            </w:tcBorders>
            <w:shd w:val="clear" w:color="auto" w:fill="auto"/>
            <w:vAlign w:val="center"/>
          </w:tcPr>
          <w:p>
            <w:pPr>
              <w:widowControl/>
              <w:jc w:val="center"/>
              <w:rPr>
                <w:rFonts w:eastAsia="Times New Roman"/>
                <w:sz w:val="20"/>
              </w:rPr>
            </w:pPr>
          </w:p>
        </w:tc>
        <w:tc>
          <w:tcPr>
            <w:tcW w:w="3220" w:type="dxa"/>
            <w:gridSpan w:val="2"/>
            <w:tcBorders>
              <w:top w:val="nil"/>
              <w:left w:val="nil"/>
              <w:bottom w:val="nil"/>
              <w:right w:val="nil"/>
            </w:tcBorders>
            <w:shd w:val="clear" w:color="auto" w:fill="auto"/>
            <w:vAlign w:val="center"/>
          </w:tcPr>
          <w:p>
            <w:pPr>
              <w:widowControl/>
              <w:jc w:val="right"/>
              <w:rPr>
                <w:rFonts w:eastAsia="宋体"/>
                <w:sz w:val="20"/>
              </w:rPr>
            </w:pPr>
            <w:r>
              <w:rPr>
                <w:rFonts w:eastAsia="宋体"/>
                <w:sz w:val="20"/>
              </w:rPr>
              <w:t>公开08表</w:t>
            </w:r>
          </w:p>
        </w:tc>
      </w:tr>
      <w:tr>
        <w:tblPrEx>
          <w:tblLayout w:type="fixed"/>
          <w:tblCellMar>
            <w:top w:w="0" w:type="dxa"/>
            <w:left w:w="108" w:type="dxa"/>
            <w:bottom w:w="0" w:type="dxa"/>
            <w:right w:w="108" w:type="dxa"/>
          </w:tblCellMar>
        </w:tblPrEx>
        <w:trPr>
          <w:trHeight w:val="319" w:hRule="atLeast"/>
          <w:jc w:val="center"/>
        </w:trPr>
        <w:tc>
          <w:tcPr>
            <w:tcW w:w="3880" w:type="dxa"/>
            <w:gridSpan w:val="4"/>
            <w:tcBorders>
              <w:top w:val="nil"/>
              <w:left w:val="nil"/>
              <w:bottom w:val="single" w:color="auto" w:sz="4" w:space="0"/>
              <w:right w:val="nil"/>
            </w:tcBorders>
            <w:shd w:val="clear" w:color="auto" w:fill="auto"/>
            <w:vAlign w:val="center"/>
          </w:tcPr>
          <w:p>
            <w:pPr>
              <w:widowControl/>
              <w:jc w:val="left"/>
              <w:rPr>
                <w:rFonts w:eastAsia="宋体"/>
                <w:sz w:val="20"/>
              </w:rPr>
            </w:pPr>
            <w:r>
              <w:rPr>
                <w:rFonts w:eastAsia="宋体"/>
                <w:sz w:val="20"/>
              </w:rPr>
              <w:t>部门名称：</w:t>
            </w:r>
            <w:r>
              <w:rPr>
                <w:rFonts w:hint="eastAsia" w:eastAsia="宋体"/>
                <w:sz w:val="20"/>
              </w:rPr>
              <w:t>江苏传媒学校</w:t>
            </w:r>
          </w:p>
        </w:tc>
        <w:tc>
          <w:tcPr>
            <w:tcW w:w="3220" w:type="dxa"/>
            <w:gridSpan w:val="2"/>
            <w:tcBorders>
              <w:top w:val="nil"/>
              <w:left w:val="nil"/>
              <w:bottom w:val="nil"/>
              <w:right w:val="nil"/>
            </w:tcBorders>
            <w:shd w:val="clear" w:color="auto" w:fill="auto"/>
            <w:vAlign w:val="center"/>
          </w:tcPr>
          <w:p>
            <w:pPr>
              <w:widowControl/>
              <w:jc w:val="left"/>
              <w:rPr>
                <w:rFonts w:eastAsia="宋体"/>
                <w:sz w:val="20"/>
              </w:rPr>
            </w:pPr>
          </w:p>
        </w:tc>
        <w:tc>
          <w:tcPr>
            <w:tcW w:w="3220" w:type="dxa"/>
            <w:gridSpan w:val="2"/>
            <w:tcBorders>
              <w:top w:val="nil"/>
              <w:left w:val="nil"/>
              <w:bottom w:val="nil"/>
              <w:right w:val="nil"/>
            </w:tcBorders>
            <w:shd w:val="clear" w:color="auto" w:fill="auto"/>
            <w:vAlign w:val="center"/>
          </w:tcPr>
          <w:p>
            <w:pPr>
              <w:widowControl/>
              <w:jc w:val="left"/>
              <w:rPr>
                <w:rFonts w:eastAsia="Times New Roman"/>
                <w:sz w:val="20"/>
              </w:rPr>
            </w:pPr>
          </w:p>
        </w:tc>
        <w:tc>
          <w:tcPr>
            <w:tcW w:w="3220" w:type="dxa"/>
            <w:gridSpan w:val="2"/>
            <w:tcBorders>
              <w:top w:val="nil"/>
              <w:left w:val="nil"/>
              <w:bottom w:val="nil"/>
              <w:right w:val="nil"/>
            </w:tcBorders>
            <w:shd w:val="clear" w:color="auto" w:fill="auto"/>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38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    目</w:t>
            </w:r>
          </w:p>
        </w:tc>
        <w:tc>
          <w:tcPr>
            <w:tcW w:w="32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本年支出合计</w:t>
            </w:r>
          </w:p>
        </w:tc>
        <w:tc>
          <w:tcPr>
            <w:tcW w:w="32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人员经费</w:t>
            </w:r>
          </w:p>
        </w:tc>
        <w:tc>
          <w:tcPr>
            <w:tcW w:w="32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日常公用经费</w:t>
            </w:r>
          </w:p>
        </w:tc>
      </w:tr>
      <w:tr>
        <w:tblPrEx>
          <w:tblLayout w:type="fixed"/>
          <w:tblCellMar>
            <w:top w:w="0" w:type="dxa"/>
            <w:left w:w="108" w:type="dxa"/>
            <w:bottom w:w="0" w:type="dxa"/>
            <w:right w:w="108" w:type="dxa"/>
          </w:tblCellMar>
        </w:tblPrEx>
        <w:trPr>
          <w:trHeight w:val="319" w:hRule="atLeast"/>
          <w:jc w:val="center"/>
        </w:trPr>
        <w:tc>
          <w:tcPr>
            <w:tcW w:w="134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经济分类科目编码</w:t>
            </w:r>
          </w:p>
        </w:tc>
        <w:tc>
          <w:tcPr>
            <w:tcW w:w="254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科目名称</w:t>
            </w: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25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2" w:hRule="atLeast"/>
          <w:jc w:val="center"/>
        </w:trPr>
        <w:tc>
          <w:tcPr>
            <w:tcW w:w="13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25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3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38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合计</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1546.66</w:t>
            </w:r>
            <w:r>
              <w:rPr>
                <w:rFonts w:eastAsia="宋体"/>
                <w:sz w:val="20"/>
              </w:rPr>
              <w:t>　</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r>
              <w:rPr>
                <w:rFonts w:hint="eastAsia" w:eastAsia="宋体"/>
                <w:sz w:val="20"/>
              </w:rPr>
              <w:t>1245.21</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hint="eastAsia" w:eastAsia="宋体"/>
                <w:sz w:val="20"/>
              </w:rPr>
              <w:t>301.45</w:t>
            </w: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301</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工资福利支出</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1141.8</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1141.8</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30101</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基本工资</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173.9</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173.9</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30102</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津贴补贴</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81.16</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81.16</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30107</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绩效工资</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402.7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402.7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hint="eastAsia" w:eastAsia="宋体"/>
                <w:sz w:val="20"/>
              </w:rPr>
              <w:t>30108</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机关事业单位基本养老保险费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97.92</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97.92</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hint="eastAsia" w:eastAsia="宋体"/>
                <w:sz w:val="20"/>
              </w:rPr>
              <w:t>30109</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职业年金缴费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39.17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hint="eastAsia" w:eastAsia="宋体"/>
                <w:sz w:val="20"/>
              </w:rPr>
              <w:t>30114</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医疗费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4.67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4.67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hint="eastAsia" w:eastAsia="宋体"/>
                <w:sz w:val="20"/>
              </w:rPr>
              <w:t>30199</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其他工资福利支出</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338.75</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338.75</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302</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商品和服务支出</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286.81</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286.81</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30201</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办公费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4.22</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4.22</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2</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印刷费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7.7</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4</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手续费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0.04</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0.04</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5</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水费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7.61</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7.61</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6</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电费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31.66</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31.66</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3020</w:t>
            </w:r>
            <w:r>
              <w:rPr>
                <w:rFonts w:hint="eastAsia" w:eastAsia="宋体"/>
                <w:sz w:val="20"/>
              </w:rPr>
              <w:t>7</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邮电费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6.77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6.77</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11</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差旅费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10.31</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10.31</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13</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维修（护）费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55.57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55.57</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16</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培训费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0.3</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0.3</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18</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专用材料费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7.78</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7.78</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26</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劳务费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51.14</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51.14</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27</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委托业务费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13.01</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13.01</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29</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福利费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23.20</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23.20</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31</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公务用车运行维护费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0.97</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0.97</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39</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其他交通费用</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2.58</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2.58</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302</w:t>
            </w:r>
            <w:r>
              <w:rPr>
                <w:rFonts w:hint="eastAsia" w:eastAsia="宋体"/>
                <w:sz w:val="20"/>
              </w:rPr>
              <w:t>99</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其他商品和服务支出</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63.93</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63.93</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303</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对个人和家庭的补助</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103.41</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103.41</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30301</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离休费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25.86</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25.86</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3030</w:t>
            </w:r>
            <w:r>
              <w:rPr>
                <w:rFonts w:hint="eastAsia" w:eastAsia="宋体"/>
                <w:sz w:val="20"/>
              </w:rPr>
              <w:t>2</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退休费</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76.29</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76.29</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3030</w:t>
            </w:r>
            <w:r>
              <w:rPr>
                <w:rFonts w:hint="eastAsia" w:eastAsia="宋体"/>
                <w:sz w:val="20"/>
              </w:rPr>
              <w:t>4</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抚恤金</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0.03</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0.03</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tcPr>
          <w:p>
            <w:r>
              <w:rPr>
                <w:rFonts w:eastAsia="宋体"/>
                <w:sz w:val="20"/>
              </w:rPr>
              <w:t>3030</w:t>
            </w:r>
            <w:r>
              <w:rPr>
                <w:rFonts w:hint="eastAsia" w:eastAsia="宋体"/>
                <w:sz w:val="20"/>
              </w:rPr>
              <w:t>5</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生活补助</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1.23</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1.23</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310</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b/>
                <w:bCs/>
                <w:sz w:val="20"/>
              </w:rPr>
            </w:pPr>
            <w:r>
              <w:rPr>
                <w:rFonts w:eastAsia="宋体"/>
                <w:b/>
                <w:bCs/>
                <w:sz w:val="20"/>
              </w:rPr>
              <w:t>其他资本性支出</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r>
      <w:tr>
        <w:tblPrEx>
          <w:tblLayout w:type="fixed"/>
          <w:tblCellMar>
            <w:top w:w="0" w:type="dxa"/>
            <w:left w:w="108" w:type="dxa"/>
            <w:bottom w:w="0" w:type="dxa"/>
            <w:right w:w="108" w:type="dxa"/>
          </w:tblCellMar>
        </w:tblPrEx>
        <w:trPr>
          <w:trHeight w:val="319" w:hRule="atLeast"/>
          <w:jc w:val="center"/>
        </w:trPr>
        <w:tc>
          <w:tcPr>
            <w:tcW w:w="13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宋体"/>
                <w:sz w:val="20"/>
              </w:rPr>
            </w:pPr>
            <w:r>
              <w:rPr>
                <w:rFonts w:hint="eastAsia" w:eastAsia="宋体"/>
                <w:sz w:val="20"/>
              </w:rPr>
              <w:t>31002</w:t>
            </w:r>
          </w:p>
        </w:tc>
        <w:tc>
          <w:tcPr>
            <w:tcW w:w="254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xml:space="preserve">  </w:t>
            </w:r>
            <w:r>
              <w:rPr>
                <w:rFonts w:hint="eastAsia" w:eastAsia="宋体"/>
                <w:sz w:val="20"/>
              </w:rPr>
              <w:t>办公设备购置</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20" w:type="dxa"/>
            <w:gridSpan w:val="2"/>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14.64</w:t>
            </w:r>
          </w:p>
        </w:tc>
      </w:tr>
      <w:tr>
        <w:tblPrEx>
          <w:tblLayout w:type="fixed"/>
          <w:tblCellMar>
            <w:top w:w="0" w:type="dxa"/>
            <w:left w:w="108" w:type="dxa"/>
            <w:bottom w:w="0" w:type="dxa"/>
            <w:right w:w="108" w:type="dxa"/>
          </w:tblCellMar>
        </w:tblPrEx>
        <w:trPr>
          <w:gridAfter w:val="1"/>
          <w:wAfter w:w="160" w:type="dxa"/>
          <w:trHeight w:val="525" w:hRule="atLeast"/>
          <w:jc w:val="center"/>
        </w:trPr>
        <w:tc>
          <w:tcPr>
            <w:tcW w:w="13380" w:type="dxa"/>
            <w:gridSpan w:val="9"/>
            <w:tcBorders>
              <w:top w:val="nil"/>
              <w:left w:val="nil"/>
              <w:bottom w:val="nil"/>
              <w:right w:val="nil"/>
            </w:tcBorders>
            <w:shd w:val="clear" w:color="auto" w:fill="auto"/>
            <w:vAlign w:val="center"/>
          </w:tcPr>
          <w:p>
            <w:pPr>
              <w:widowControl/>
              <w:jc w:val="left"/>
              <w:rPr>
                <w:rFonts w:eastAsia="宋体"/>
                <w:sz w:val="20"/>
              </w:rPr>
            </w:pPr>
            <w:r>
              <w:rPr>
                <w:rFonts w:eastAsia="宋体"/>
                <w:sz w:val="20"/>
              </w:rPr>
              <w:t>注：1. 本表反映部门本年度按经济分类一般公共预算财政拨款基本支出明细情况。</w:t>
            </w:r>
            <w:r>
              <w:rPr>
                <w:rFonts w:eastAsia="宋体"/>
                <w:sz w:val="20"/>
              </w:rPr>
              <w:br w:type="textWrapping"/>
            </w:r>
            <w:r>
              <w:rPr>
                <w:rFonts w:eastAsia="宋体"/>
                <w:sz w:val="20"/>
              </w:rPr>
              <w:t xml:space="preserve">    2.“科目编码”和“科目名称”均为必填项。</w:t>
            </w:r>
          </w:p>
        </w:tc>
      </w:tr>
    </w:tbl>
    <w:p/>
    <w:tbl>
      <w:tblPr>
        <w:tblStyle w:val="5"/>
        <w:tblW w:w="13660" w:type="dxa"/>
        <w:jc w:val="center"/>
        <w:tblInd w:w="108" w:type="dxa"/>
        <w:tblLayout w:type="fixed"/>
        <w:tblCellMar>
          <w:top w:w="0" w:type="dxa"/>
          <w:left w:w="108" w:type="dxa"/>
          <w:bottom w:w="0" w:type="dxa"/>
          <w:right w:w="108" w:type="dxa"/>
        </w:tblCellMar>
      </w:tblPr>
      <w:tblGrid>
        <w:gridCol w:w="1660"/>
        <w:gridCol w:w="2100"/>
        <w:gridCol w:w="1660"/>
        <w:gridCol w:w="1660"/>
        <w:gridCol w:w="1600"/>
        <w:gridCol w:w="1660"/>
        <w:gridCol w:w="1660"/>
        <w:gridCol w:w="1660"/>
      </w:tblGrid>
      <w:tr>
        <w:tblPrEx>
          <w:tblLayout w:type="fixed"/>
        </w:tblPrEx>
        <w:trPr>
          <w:trHeight w:val="960" w:hRule="atLeast"/>
          <w:jc w:val="center"/>
        </w:trPr>
        <w:tc>
          <w:tcPr>
            <w:tcW w:w="13660" w:type="dxa"/>
            <w:gridSpan w:val="8"/>
            <w:tcBorders>
              <w:top w:val="nil"/>
              <w:left w:val="nil"/>
              <w:bottom w:val="nil"/>
              <w:right w:val="nil"/>
            </w:tcBorders>
            <w:shd w:val="clear" w:color="auto" w:fill="auto"/>
            <w:vAlign w:val="center"/>
          </w:tcPr>
          <w:p>
            <w:pPr>
              <w:widowControl/>
              <w:jc w:val="center"/>
              <w:rPr>
                <w:rFonts w:eastAsia="方正小标宋_GBK"/>
                <w:sz w:val="36"/>
                <w:szCs w:val="36"/>
              </w:rPr>
            </w:pPr>
            <w:bookmarkStart w:id="5" w:name="RANGE!A1:H16"/>
            <w:r>
              <w:rPr>
                <w:rFonts w:eastAsia="方正小标宋_GBK"/>
                <w:sz w:val="36"/>
                <w:szCs w:val="36"/>
              </w:rPr>
              <w:t>一般公共预算财政拨款“三公”经费、会议费、培训费支出决算表</w:t>
            </w:r>
            <w:bookmarkEnd w:id="5"/>
          </w:p>
        </w:tc>
      </w:tr>
      <w:tr>
        <w:tblPrEx>
          <w:tblLayout w:type="fixed"/>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shd w:val="clear" w:color="auto" w:fill="auto"/>
            <w:vAlign w:val="center"/>
          </w:tcPr>
          <w:p>
            <w:pPr>
              <w:widowControl/>
              <w:jc w:val="center"/>
              <w:rPr>
                <w:rFonts w:eastAsia="方正小标宋_GBK"/>
                <w:sz w:val="36"/>
                <w:szCs w:val="36"/>
              </w:rPr>
            </w:pPr>
          </w:p>
        </w:tc>
        <w:tc>
          <w:tcPr>
            <w:tcW w:w="210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0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right"/>
              <w:rPr>
                <w:rFonts w:eastAsia="宋体"/>
                <w:sz w:val="20"/>
              </w:rPr>
            </w:pPr>
            <w:r>
              <w:rPr>
                <w:rFonts w:eastAsia="宋体"/>
                <w:sz w:val="20"/>
              </w:rPr>
              <w:t>公开09表</w:t>
            </w:r>
          </w:p>
        </w:tc>
      </w:tr>
      <w:tr>
        <w:tblPrEx>
          <w:tblLayout w:type="fixed"/>
          <w:tblCellMar>
            <w:top w:w="0" w:type="dxa"/>
            <w:left w:w="108" w:type="dxa"/>
            <w:bottom w:w="0" w:type="dxa"/>
            <w:right w:w="108" w:type="dxa"/>
          </w:tblCellMar>
        </w:tblPrEx>
        <w:trPr>
          <w:trHeight w:val="319" w:hRule="atLeast"/>
          <w:jc w:val="center"/>
        </w:trPr>
        <w:tc>
          <w:tcPr>
            <w:tcW w:w="1660" w:type="dxa"/>
            <w:tcBorders>
              <w:top w:val="nil"/>
              <w:left w:val="nil"/>
              <w:bottom w:val="nil"/>
              <w:right w:val="nil"/>
            </w:tcBorders>
            <w:shd w:val="clear" w:color="auto" w:fill="auto"/>
            <w:vAlign w:val="center"/>
          </w:tcPr>
          <w:p>
            <w:pPr>
              <w:widowControl/>
              <w:jc w:val="left"/>
              <w:rPr>
                <w:rFonts w:eastAsia="宋体"/>
                <w:sz w:val="20"/>
              </w:rPr>
            </w:pPr>
            <w:r>
              <w:rPr>
                <w:rFonts w:eastAsia="宋体"/>
                <w:sz w:val="20"/>
              </w:rPr>
              <w:t>部门名</w:t>
            </w:r>
            <w:r>
              <w:rPr>
                <w:rFonts w:hint="eastAsia" w:eastAsia="宋体"/>
                <w:sz w:val="20"/>
              </w:rPr>
              <w:t>称：江苏传媒学校</w:t>
            </w:r>
          </w:p>
        </w:tc>
        <w:tc>
          <w:tcPr>
            <w:tcW w:w="210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0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c>
          <w:tcPr>
            <w:tcW w:w="1660" w:type="dxa"/>
            <w:tcBorders>
              <w:top w:val="nil"/>
              <w:left w:val="nil"/>
              <w:bottom w:val="nil"/>
              <w:right w:val="nil"/>
            </w:tcBorders>
            <w:shd w:val="clear" w:color="auto" w:fill="auto"/>
            <w:vAlign w:val="center"/>
          </w:tcPr>
          <w:p>
            <w:pPr>
              <w:widowControl/>
              <w:jc w:val="right"/>
              <w:rPr>
                <w:rFonts w:eastAsia="宋体"/>
                <w:sz w:val="20"/>
              </w:rPr>
            </w:pPr>
            <w:r>
              <w:rPr>
                <w:rFonts w:eastAsia="宋体"/>
                <w:sz w:val="20"/>
              </w:rPr>
              <w:t>金额单位：万元</w:t>
            </w:r>
          </w:p>
        </w:tc>
      </w:tr>
      <w:tr>
        <w:tblPrEx>
          <w:tblLayout w:type="fixed"/>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“三公”经费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会议费</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培训费</w:t>
            </w:r>
          </w:p>
        </w:tc>
      </w:tr>
      <w:tr>
        <w:tblPrEx>
          <w:tblLayout w:type="fixed"/>
          <w:tblCellMar>
            <w:top w:w="0" w:type="dxa"/>
            <w:left w:w="108" w:type="dxa"/>
            <w:bottom w:w="0" w:type="dxa"/>
            <w:right w:w="108" w:type="dxa"/>
          </w:tblCellMar>
        </w:tblPrEx>
        <w:trPr>
          <w:trHeight w:val="319" w:hRule="atLeast"/>
          <w:jc w:val="center"/>
        </w:trPr>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“三公”经费</w:t>
            </w:r>
            <w:r>
              <w:rPr>
                <w:rFonts w:eastAsia="宋体"/>
                <w:sz w:val="20"/>
              </w:rPr>
              <w:br w:type="textWrapping"/>
            </w:r>
            <w:r>
              <w:rPr>
                <w:rFonts w:eastAsia="宋体"/>
                <w:sz w:val="20"/>
              </w:rPr>
              <w:t>合计</w:t>
            </w:r>
          </w:p>
        </w:tc>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因公出国（境）费</w:t>
            </w:r>
          </w:p>
        </w:tc>
        <w:tc>
          <w:tcPr>
            <w:tcW w:w="4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公务用车购置及运行维护费</w:t>
            </w:r>
          </w:p>
        </w:tc>
        <w:tc>
          <w:tcPr>
            <w:tcW w:w="1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公务接待费</w:t>
            </w: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642"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小计</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公务用车购置费</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公务用车运行维护费</w:t>
            </w:r>
          </w:p>
        </w:tc>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r>
      <w:tr>
        <w:tblPrEx>
          <w:tblLayout w:type="fixed"/>
          <w:tblCellMar>
            <w:top w:w="0" w:type="dxa"/>
            <w:left w:w="108" w:type="dxa"/>
            <w:bottom w:w="0" w:type="dxa"/>
            <w:right w:w="108" w:type="dxa"/>
          </w:tblCellMar>
        </w:tblPrEx>
        <w:trPr>
          <w:trHeight w:val="319" w:hRule="atLeast"/>
          <w:jc w:val="center"/>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r>
              <w:rPr>
                <w:rFonts w:hint="eastAsia" w:eastAsia="宋体"/>
                <w:sz w:val="20"/>
              </w:rPr>
              <w:t>0.97</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b/>
                <w:bCs/>
                <w:sz w:val="20"/>
              </w:rPr>
            </w:pPr>
            <w:r>
              <w:rPr>
                <w:rFonts w:eastAsia="宋体"/>
                <w:b/>
                <w:bCs/>
                <w:sz w:val="20"/>
              </w:rPr>
              <w:t>　</w:t>
            </w:r>
            <w:r>
              <w:rPr>
                <w:rFonts w:hint="eastAsia" w:eastAsia="宋体"/>
                <w:b/>
                <w:bCs/>
                <w:sz w:val="20"/>
              </w:rPr>
              <w:t>0.97</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r>
              <w:rPr>
                <w:rFonts w:hint="eastAsia" w:eastAsia="宋体"/>
                <w:sz w:val="20"/>
              </w:rPr>
              <w:t>0.97</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　</w:t>
            </w:r>
            <w:r>
              <w:rPr>
                <w:rFonts w:hint="eastAsia" w:eastAsia="宋体"/>
                <w:sz w:val="20"/>
              </w:rPr>
              <w:t>0.3</w:t>
            </w:r>
          </w:p>
        </w:tc>
      </w:tr>
      <w:tr>
        <w:tblPrEx>
          <w:tblLayout w:type="fixed"/>
          <w:tblCellMar>
            <w:top w:w="0" w:type="dxa"/>
            <w:left w:w="108" w:type="dxa"/>
            <w:bottom w:w="0" w:type="dxa"/>
            <w:right w:w="108" w:type="dxa"/>
          </w:tblCellMar>
        </w:tblPrEx>
        <w:trPr>
          <w:trHeight w:val="319" w:hRule="atLeast"/>
          <w:jc w:val="center"/>
        </w:trPr>
        <w:tc>
          <w:tcPr>
            <w:tcW w:w="10340" w:type="dxa"/>
            <w:gridSpan w:val="6"/>
            <w:tcBorders>
              <w:top w:val="single" w:color="auto" w:sz="4" w:space="0"/>
              <w:left w:val="nil"/>
              <w:bottom w:val="single" w:color="auto" w:sz="4" w:space="0"/>
              <w:right w:val="nil"/>
            </w:tcBorders>
            <w:shd w:val="clear" w:color="auto" w:fill="auto"/>
            <w:vAlign w:val="center"/>
          </w:tcPr>
          <w:p>
            <w:pPr>
              <w:widowControl/>
              <w:jc w:val="left"/>
              <w:rPr>
                <w:rFonts w:eastAsia="宋体"/>
                <w:sz w:val="20"/>
              </w:rPr>
            </w:pPr>
            <w:r>
              <w:rPr>
                <w:rFonts w:eastAsia="宋体"/>
                <w:sz w:val="20"/>
              </w:rPr>
              <w:t>相关统计数：</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统计数</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项目</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统计数</w:t>
            </w:r>
          </w:p>
        </w:tc>
        <w:tc>
          <w:tcPr>
            <w:tcW w:w="1660" w:type="dxa"/>
            <w:tcBorders>
              <w:top w:val="nil"/>
              <w:left w:val="nil"/>
              <w:bottom w:val="nil"/>
              <w:right w:val="nil"/>
            </w:tcBorders>
            <w:shd w:val="clear" w:color="auto" w:fill="auto"/>
            <w:vAlign w:val="center"/>
          </w:tcPr>
          <w:p>
            <w:pPr>
              <w:widowControl/>
              <w:jc w:val="center"/>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因公出国（境）团组数(个)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因公出国（境）人次数(人)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公务用车购置数(辆)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公务用车保有量(辆)</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国内公务接待批次(个)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国内公务接待人次(人)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国（境）外公务接待批次(个)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国（境）外公务接待人次(人)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319"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召开会议次数(个)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参加会议人次(人)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240" w:hRule="atLeast"/>
          <w:jc w:val="center"/>
        </w:trPr>
        <w:tc>
          <w:tcPr>
            <w:tcW w:w="3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组织培训次数(个)</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1</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sz w:val="20"/>
              </w:rPr>
            </w:pPr>
            <w:r>
              <w:rPr>
                <w:rFonts w:eastAsia="宋体"/>
                <w:sz w:val="20"/>
              </w:rPr>
              <w:t>参加培训人次(人)</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eastAsia="宋体"/>
                <w:sz w:val="20"/>
              </w:rPr>
            </w:pPr>
            <w:r>
              <w:rPr>
                <w:rFonts w:eastAsia="宋体"/>
                <w:sz w:val="20"/>
              </w:rPr>
              <w:t>　</w:t>
            </w:r>
            <w:r>
              <w:rPr>
                <w:rFonts w:hint="eastAsia" w:eastAsia="宋体"/>
                <w:sz w:val="20"/>
              </w:rPr>
              <w:t>2</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r>
        <w:tblPrEx>
          <w:tblLayout w:type="fixed"/>
          <w:tblCellMar>
            <w:top w:w="0" w:type="dxa"/>
            <w:left w:w="108" w:type="dxa"/>
            <w:bottom w:w="0" w:type="dxa"/>
            <w:right w:w="108" w:type="dxa"/>
          </w:tblCellMar>
        </w:tblPrEx>
        <w:trPr>
          <w:trHeight w:val="420" w:hRule="atLeast"/>
          <w:jc w:val="center"/>
        </w:trPr>
        <w:tc>
          <w:tcPr>
            <w:tcW w:w="10340" w:type="dxa"/>
            <w:gridSpan w:val="6"/>
            <w:tcBorders>
              <w:top w:val="single" w:color="auto" w:sz="4" w:space="0"/>
              <w:left w:val="nil"/>
              <w:bottom w:val="nil"/>
              <w:right w:val="nil"/>
            </w:tcBorders>
            <w:shd w:val="clear" w:color="auto" w:fill="auto"/>
            <w:vAlign w:val="center"/>
          </w:tcPr>
          <w:p>
            <w:pPr>
              <w:widowControl/>
              <w:jc w:val="left"/>
              <w:rPr>
                <w:rFonts w:eastAsia="宋体"/>
                <w:sz w:val="20"/>
              </w:rPr>
            </w:pPr>
            <w:r>
              <w:rPr>
                <w:rFonts w:eastAsia="宋体"/>
                <w:sz w:val="20"/>
              </w:rPr>
              <w:t>注：“三公”经费、会议费、培训费详细支出情况见支出情况说明。</w:t>
            </w:r>
          </w:p>
        </w:tc>
        <w:tc>
          <w:tcPr>
            <w:tcW w:w="1660" w:type="dxa"/>
            <w:tcBorders>
              <w:top w:val="nil"/>
              <w:left w:val="nil"/>
              <w:bottom w:val="nil"/>
              <w:right w:val="nil"/>
            </w:tcBorders>
            <w:shd w:val="clear" w:color="auto" w:fill="auto"/>
            <w:vAlign w:val="center"/>
          </w:tcPr>
          <w:p>
            <w:pPr>
              <w:widowControl/>
              <w:jc w:val="left"/>
              <w:rPr>
                <w:rFonts w:eastAsia="宋体"/>
                <w:sz w:val="20"/>
              </w:rPr>
            </w:pPr>
          </w:p>
        </w:tc>
        <w:tc>
          <w:tcPr>
            <w:tcW w:w="1660" w:type="dxa"/>
            <w:tcBorders>
              <w:top w:val="nil"/>
              <w:left w:val="nil"/>
              <w:bottom w:val="nil"/>
              <w:right w:val="nil"/>
            </w:tcBorders>
            <w:shd w:val="clear" w:color="auto" w:fill="auto"/>
            <w:vAlign w:val="center"/>
          </w:tcPr>
          <w:p>
            <w:pPr>
              <w:widowControl/>
              <w:jc w:val="left"/>
              <w:rPr>
                <w:rFonts w:eastAsia="Times New Roman"/>
                <w:sz w:val="20"/>
              </w:rPr>
            </w:pPr>
          </w:p>
        </w:tc>
      </w:tr>
    </w:tbl>
    <w:p/>
    <w:p/>
    <w:p/>
    <w:p/>
    <w:tbl>
      <w:tblPr>
        <w:tblStyle w:val="5"/>
        <w:tblW w:w="10856" w:type="dxa"/>
        <w:jc w:val="center"/>
        <w:tblInd w:w="58" w:type="dxa"/>
        <w:tblLayout w:type="fixed"/>
        <w:tblCellMar>
          <w:top w:w="0" w:type="dxa"/>
          <w:left w:w="108" w:type="dxa"/>
          <w:bottom w:w="0" w:type="dxa"/>
          <w:right w:w="108" w:type="dxa"/>
        </w:tblCellMar>
      </w:tblPr>
      <w:tblGrid>
        <w:gridCol w:w="3181"/>
        <w:gridCol w:w="2702"/>
        <w:gridCol w:w="2702"/>
        <w:gridCol w:w="2271"/>
      </w:tblGrid>
      <w:tr>
        <w:tblPrEx>
          <w:tblLayout w:type="fixed"/>
          <w:tblCellMar>
            <w:top w:w="0" w:type="dxa"/>
            <w:left w:w="108" w:type="dxa"/>
            <w:bottom w:w="0" w:type="dxa"/>
            <w:right w:w="108" w:type="dxa"/>
          </w:tblCellMar>
        </w:tblPrEx>
        <w:trPr>
          <w:trHeight w:val="888" w:hRule="atLeast"/>
          <w:jc w:val="center"/>
        </w:trPr>
        <w:tc>
          <w:tcPr>
            <w:tcW w:w="10856" w:type="dxa"/>
            <w:gridSpan w:val="4"/>
            <w:tcBorders>
              <w:top w:val="nil"/>
              <w:left w:val="nil"/>
              <w:bottom w:val="nil"/>
              <w:right w:val="nil"/>
            </w:tcBorders>
            <w:shd w:val="clear" w:color="auto" w:fill="auto"/>
            <w:noWrap/>
            <w:vAlign w:val="center"/>
          </w:tcPr>
          <w:p>
            <w:pPr>
              <w:widowControl/>
              <w:jc w:val="center"/>
              <w:rPr>
                <w:rFonts w:eastAsia="方正小标宋_GBK"/>
                <w:sz w:val="36"/>
                <w:szCs w:val="36"/>
              </w:rPr>
            </w:pPr>
            <w:r>
              <w:rPr>
                <w:rFonts w:eastAsia="方正小标宋_GBK"/>
                <w:sz w:val="36"/>
                <w:szCs w:val="36"/>
              </w:rPr>
              <w:t>政府采购支出决算表</w:t>
            </w:r>
          </w:p>
        </w:tc>
      </w:tr>
      <w:tr>
        <w:tblPrEx>
          <w:tblLayout w:type="fixed"/>
          <w:tblCellMar>
            <w:top w:w="0" w:type="dxa"/>
            <w:left w:w="108" w:type="dxa"/>
            <w:bottom w:w="0" w:type="dxa"/>
            <w:right w:w="108" w:type="dxa"/>
          </w:tblCellMar>
        </w:tblPrEx>
        <w:trPr>
          <w:trHeight w:val="295" w:hRule="atLeast"/>
          <w:jc w:val="center"/>
        </w:trPr>
        <w:tc>
          <w:tcPr>
            <w:tcW w:w="3181" w:type="dxa"/>
            <w:tcBorders>
              <w:top w:val="nil"/>
              <w:left w:val="nil"/>
              <w:bottom w:val="nil"/>
              <w:right w:val="nil"/>
            </w:tcBorders>
            <w:shd w:val="clear" w:color="auto" w:fill="auto"/>
            <w:noWrap/>
            <w:vAlign w:val="center"/>
          </w:tcPr>
          <w:p>
            <w:pPr>
              <w:widowControl/>
              <w:jc w:val="center"/>
              <w:rPr>
                <w:rFonts w:eastAsia="方正小标宋_GBK"/>
                <w:sz w:val="36"/>
                <w:szCs w:val="36"/>
              </w:rPr>
            </w:pPr>
          </w:p>
        </w:tc>
        <w:tc>
          <w:tcPr>
            <w:tcW w:w="2702" w:type="dxa"/>
            <w:tcBorders>
              <w:top w:val="nil"/>
              <w:left w:val="nil"/>
              <w:bottom w:val="nil"/>
              <w:right w:val="nil"/>
            </w:tcBorders>
            <w:shd w:val="clear" w:color="auto" w:fill="auto"/>
            <w:noWrap/>
            <w:vAlign w:val="center"/>
          </w:tcPr>
          <w:p>
            <w:pPr>
              <w:widowControl/>
              <w:jc w:val="center"/>
              <w:rPr>
                <w:rFonts w:eastAsia="Times New Roman"/>
                <w:sz w:val="20"/>
              </w:rPr>
            </w:pPr>
          </w:p>
        </w:tc>
        <w:tc>
          <w:tcPr>
            <w:tcW w:w="2702" w:type="dxa"/>
            <w:tcBorders>
              <w:top w:val="nil"/>
              <w:left w:val="nil"/>
              <w:bottom w:val="nil"/>
              <w:right w:val="nil"/>
            </w:tcBorders>
            <w:shd w:val="clear" w:color="auto" w:fill="auto"/>
            <w:noWrap/>
            <w:vAlign w:val="center"/>
          </w:tcPr>
          <w:p>
            <w:pPr>
              <w:widowControl/>
              <w:jc w:val="left"/>
              <w:rPr>
                <w:rFonts w:eastAsia="Times New Roman"/>
                <w:sz w:val="20"/>
              </w:rPr>
            </w:pPr>
          </w:p>
        </w:tc>
        <w:tc>
          <w:tcPr>
            <w:tcW w:w="2271"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公开12表</w:t>
            </w:r>
          </w:p>
        </w:tc>
      </w:tr>
      <w:tr>
        <w:tblPrEx>
          <w:tblLayout w:type="fixed"/>
          <w:tblCellMar>
            <w:top w:w="0" w:type="dxa"/>
            <w:left w:w="108" w:type="dxa"/>
            <w:bottom w:w="0" w:type="dxa"/>
            <w:right w:w="108" w:type="dxa"/>
          </w:tblCellMar>
        </w:tblPrEx>
        <w:trPr>
          <w:trHeight w:val="295" w:hRule="atLeast"/>
          <w:jc w:val="center"/>
        </w:trPr>
        <w:tc>
          <w:tcPr>
            <w:tcW w:w="3181" w:type="dxa"/>
            <w:tcBorders>
              <w:top w:val="nil"/>
              <w:left w:val="nil"/>
              <w:bottom w:val="nil"/>
              <w:right w:val="nil"/>
            </w:tcBorders>
            <w:shd w:val="clear" w:color="auto" w:fill="auto"/>
            <w:noWrap/>
            <w:vAlign w:val="center"/>
          </w:tcPr>
          <w:p>
            <w:pPr>
              <w:widowControl/>
              <w:jc w:val="left"/>
              <w:rPr>
                <w:rFonts w:eastAsia="宋体"/>
                <w:sz w:val="20"/>
              </w:rPr>
            </w:pPr>
            <w:r>
              <w:rPr>
                <w:rFonts w:eastAsia="宋体"/>
                <w:sz w:val="20"/>
              </w:rPr>
              <w:t>部门名称：XXXX</w:t>
            </w:r>
          </w:p>
        </w:tc>
        <w:tc>
          <w:tcPr>
            <w:tcW w:w="2702" w:type="dxa"/>
            <w:tcBorders>
              <w:top w:val="nil"/>
              <w:left w:val="nil"/>
              <w:bottom w:val="nil"/>
              <w:right w:val="nil"/>
            </w:tcBorders>
            <w:shd w:val="clear" w:color="auto" w:fill="auto"/>
            <w:noWrap/>
            <w:vAlign w:val="center"/>
          </w:tcPr>
          <w:p>
            <w:pPr>
              <w:widowControl/>
              <w:jc w:val="left"/>
              <w:rPr>
                <w:rFonts w:eastAsia="宋体"/>
                <w:sz w:val="20"/>
              </w:rPr>
            </w:pPr>
          </w:p>
        </w:tc>
        <w:tc>
          <w:tcPr>
            <w:tcW w:w="2702" w:type="dxa"/>
            <w:tcBorders>
              <w:top w:val="nil"/>
              <w:left w:val="nil"/>
              <w:bottom w:val="nil"/>
              <w:right w:val="nil"/>
            </w:tcBorders>
            <w:shd w:val="clear" w:color="auto" w:fill="auto"/>
            <w:noWrap/>
            <w:vAlign w:val="center"/>
          </w:tcPr>
          <w:p>
            <w:pPr>
              <w:widowControl/>
              <w:jc w:val="left"/>
              <w:rPr>
                <w:rFonts w:eastAsia="Times New Roman"/>
                <w:sz w:val="20"/>
              </w:rPr>
            </w:pPr>
          </w:p>
        </w:tc>
        <w:tc>
          <w:tcPr>
            <w:tcW w:w="2271" w:type="dxa"/>
            <w:tcBorders>
              <w:top w:val="nil"/>
              <w:left w:val="nil"/>
              <w:bottom w:val="nil"/>
              <w:right w:val="nil"/>
            </w:tcBorders>
            <w:shd w:val="clear" w:color="auto" w:fill="auto"/>
            <w:noWrap/>
            <w:vAlign w:val="center"/>
          </w:tcPr>
          <w:p>
            <w:pPr>
              <w:widowControl/>
              <w:jc w:val="right"/>
              <w:rPr>
                <w:rFonts w:eastAsia="宋体"/>
                <w:sz w:val="20"/>
              </w:rPr>
            </w:pPr>
            <w:r>
              <w:rPr>
                <w:rFonts w:eastAsia="宋体"/>
                <w:sz w:val="20"/>
              </w:rPr>
              <w:t>单位：万元</w:t>
            </w:r>
          </w:p>
        </w:tc>
      </w:tr>
      <w:tr>
        <w:tblPrEx>
          <w:tblLayout w:type="fixed"/>
          <w:tblCellMar>
            <w:top w:w="0" w:type="dxa"/>
            <w:left w:w="108" w:type="dxa"/>
            <w:bottom w:w="0" w:type="dxa"/>
            <w:right w:w="108" w:type="dxa"/>
          </w:tblCellMar>
        </w:tblPrEx>
        <w:trPr>
          <w:trHeight w:val="333" w:hRule="atLeast"/>
          <w:jc w:val="center"/>
        </w:trPr>
        <w:tc>
          <w:tcPr>
            <w:tcW w:w="318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宋体"/>
                <w:sz w:val="20"/>
              </w:rPr>
            </w:pPr>
            <w:r>
              <w:rPr>
                <w:rFonts w:eastAsia="宋体"/>
                <w:sz w:val="20"/>
              </w:rPr>
              <w:t>采购品目大类</w:t>
            </w:r>
          </w:p>
        </w:tc>
        <w:tc>
          <w:tcPr>
            <w:tcW w:w="767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eastAsia="宋体"/>
                <w:sz w:val="20"/>
              </w:rPr>
            </w:pPr>
            <w:r>
              <w:rPr>
                <w:rFonts w:eastAsia="宋体"/>
                <w:sz w:val="20"/>
              </w:rPr>
              <w:t>采购决算</w:t>
            </w:r>
          </w:p>
        </w:tc>
      </w:tr>
      <w:tr>
        <w:tblPrEx>
          <w:tblLayout w:type="fixed"/>
          <w:tblCellMar>
            <w:top w:w="0" w:type="dxa"/>
            <w:left w:w="108" w:type="dxa"/>
            <w:bottom w:w="0" w:type="dxa"/>
            <w:right w:w="108" w:type="dxa"/>
          </w:tblCellMar>
        </w:tblPrEx>
        <w:trPr>
          <w:trHeight w:val="333" w:hRule="atLeast"/>
          <w:jc w:val="center"/>
        </w:trPr>
        <w:tc>
          <w:tcPr>
            <w:tcW w:w="3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rPr>
            </w:pPr>
          </w:p>
        </w:tc>
        <w:tc>
          <w:tcPr>
            <w:tcW w:w="2702" w:type="dxa"/>
            <w:tcBorders>
              <w:top w:val="nil"/>
              <w:left w:val="nil"/>
              <w:bottom w:val="single" w:color="auto" w:sz="4" w:space="0"/>
              <w:right w:val="single" w:color="auto" w:sz="4" w:space="0"/>
            </w:tcBorders>
            <w:shd w:val="clear" w:color="000000" w:fill="FFFFFF"/>
            <w:vAlign w:val="center"/>
          </w:tcPr>
          <w:p>
            <w:pPr>
              <w:widowControl/>
              <w:jc w:val="center"/>
              <w:rPr>
                <w:rFonts w:eastAsia="宋体"/>
                <w:sz w:val="20"/>
              </w:rPr>
            </w:pPr>
            <w:r>
              <w:rPr>
                <w:rFonts w:eastAsia="宋体"/>
                <w:sz w:val="20"/>
              </w:rPr>
              <w:t>总计</w:t>
            </w:r>
          </w:p>
        </w:tc>
        <w:tc>
          <w:tcPr>
            <w:tcW w:w="2702" w:type="dxa"/>
            <w:tcBorders>
              <w:top w:val="nil"/>
              <w:left w:val="nil"/>
              <w:bottom w:val="single" w:color="auto" w:sz="4" w:space="0"/>
              <w:right w:val="single" w:color="auto" w:sz="4" w:space="0"/>
            </w:tcBorders>
            <w:shd w:val="clear" w:color="000000" w:fill="FFFFFF"/>
            <w:vAlign w:val="center"/>
          </w:tcPr>
          <w:p>
            <w:pPr>
              <w:widowControl/>
              <w:jc w:val="center"/>
              <w:rPr>
                <w:rFonts w:eastAsia="宋体"/>
                <w:sz w:val="20"/>
              </w:rPr>
            </w:pPr>
            <w:r>
              <w:rPr>
                <w:rFonts w:eastAsia="宋体"/>
                <w:sz w:val="20"/>
              </w:rPr>
              <w:t>财政性资金</w:t>
            </w:r>
          </w:p>
        </w:tc>
        <w:tc>
          <w:tcPr>
            <w:tcW w:w="2271" w:type="dxa"/>
            <w:tcBorders>
              <w:top w:val="nil"/>
              <w:left w:val="nil"/>
              <w:bottom w:val="single" w:color="auto" w:sz="4" w:space="0"/>
              <w:right w:val="single" w:color="auto" w:sz="4" w:space="0"/>
            </w:tcBorders>
            <w:shd w:val="clear" w:color="000000" w:fill="FFFFFF"/>
            <w:vAlign w:val="center"/>
          </w:tcPr>
          <w:p>
            <w:pPr>
              <w:widowControl/>
              <w:jc w:val="center"/>
              <w:rPr>
                <w:rFonts w:eastAsia="宋体"/>
                <w:sz w:val="20"/>
              </w:rPr>
            </w:pPr>
            <w:r>
              <w:rPr>
                <w:rFonts w:hint="eastAsia" w:eastAsia="宋体"/>
                <w:sz w:val="20"/>
              </w:rPr>
              <w:t>非</w:t>
            </w:r>
            <w:r>
              <w:rPr>
                <w:rFonts w:eastAsia="宋体"/>
                <w:sz w:val="20"/>
              </w:rPr>
              <w:t>财政性资金</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sz w:val="20"/>
              </w:rPr>
            </w:pPr>
            <w:r>
              <w:rPr>
                <w:rFonts w:eastAsia="宋体"/>
                <w:sz w:val="20"/>
              </w:rPr>
              <w:t>合计</w:t>
            </w:r>
          </w:p>
        </w:tc>
        <w:tc>
          <w:tcPr>
            <w:tcW w:w="2702"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135.23</w:t>
            </w:r>
          </w:p>
        </w:tc>
        <w:tc>
          <w:tcPr>
            <w:tcW w:w="2702" w:type="dxa"/>
            <w:tcBorders>
              <w:top w:val="nil"/>
              <w:left w:val="nil"/>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　</w:t>
            </w:r>
            <w:r>
              <w:rPr>
                <w:rFonts w:hint="eastAsia" w:eastAsia="宋体"/>
                <w:sz w:val="20"/>
              </w:rPr>
              <w:t>75.86</w:t>
            </w:r>
          </w:p>
        </w:tc>
        <w:tc>
          <w:tcPr>
            <w:tcW w:w="2271" w:type="dxa"/>
            <w:tcBorders>
              <w:top w:val="nil"/>
              <w:left w:val="nil"/>
              <w:bottom w:val="single" w:color="auto" w:sz="4" w:space="0"/>
              <w:right w:val="single" w:color="auto" w:sz="4" w:space="0"/>
            </w:tcBorders>
            <w:shd w:val="clear" w:color="auto" w:fill="auto"/>
            <w:noWrap/>
            <w:vAlign w:val="center"/>
          </w:tcPr>
          <w:p>
            <w:pPr>
              <w:widowControl/>
              <w:jc w:val="right"/>
              <w:rPr>
                <w:rFonts w:eastAsia="宋体"/>
                <w:sz w:val="20"/>
              </w:rPr>
            </w:pPr>
            <w:r>
              <w:rPr>
                <w:rFonts w:hint="eastAsia" w:eastAsia="宋体"/>
                <w:sz w:val="20"/>
              </w:rPr>
              <w:t>59.37</w:t>
            </w:r>
            <w:r>
              <w:rPr>
                <w:rFonts w:eastAsia="宋体"/>
                <w:sz w:val="20"/>
              </w:rPr>
              <w:t>　</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一、货物</w:t>
            </w:r>
          </w:p>
        </w:tc>
        <w:tc>
          <w:tcPr>
            <w:tcW w:w="2702"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26.24</w:t>
            </w:r>
          </w:p>
        </w:tc>
        <w:tc>
          <w:tcPr>
            <w:tcW w:w="2702"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1.24</w:t>
            </w:r>
          </w:p>
        </w:tc>
        <w:tc>
          <w:tcPr>
            <w:tcW w:w="2271"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25</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二、工程</w:t>
            </w:r>
          </w:p>
        </w:tc>
        <w:tc>
          <w:tcPr>
            <w:tcW w:w="2702"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22.99</w:t>
            </w:r>
          </w:p>
        </w:tc>
        <w:tc>
          <w:tcPr>
            <w:tcW w:w="2702"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0</w:t>
            </w:r>
          </w:p>
        </w:tc>
        <w:tc>
          <w:tcPr>
            <w:tcW w:w="2271"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22.99</w:t>
            </w:r>
          </w:p>
        </w:tc>
      </w:tr>
      <w:tr>
        <w:tblPrEx>
          <w:tblLayout w:type="fixed"/>
          <w:tblCellMar>
            <w:top w:w="0" w:type="dxa"/>
            <w:left w:w="108" w:type="dxa"/>
            <w:bottom w:w="0" w:type="dxa"/>
            <w:right w:w="108" w:type="dxa"/>
          </w:tblCellMar>
        </w:tblPrEx>
        <w:trPr>
          <w:trHeight w:val="333" w:hRule="atLeast"/>
          <w:jc w:val="center"/>
        </w:trPr>
        <w:tc>
          <w:tcPr>
            <w:tcW w:w="31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宋体"/>
                <w:sz w:val="20"/>
              </w:rPr>
            </w:pPr>
            <w:r>
              <w:rPr>
                <w:rFonts w:eastAsia="宋体"/>
                <w:sz w:val="20"/>
              </w:rPr>
              <w:t>三、服务</w:t>
            </w:r>
          </w:p>
        </w:tc>
        <w:tc>
          <w:tcPr>
            <w:tcW w:w="2702"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86</w:t>
            </w:r>
          </w:p>
        </w:tc>
        <w:tc>
          <w:tcPr>
            <w:tcW w:w="2702"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74.62</w:t>
            </w:r>
          </w:p>
        </w:tc>
        <w:tc>
          <w:tcPr>
            <w:tcW w:w="2271" w:type="dxa"/>
            <w:tcBorders>
              <w:top w:val="nil"/>
              <w:left w:val="nil"/>
              <w:bottom w:val="single" w:color="auto" w:sz="4" w:space="0"/>
              <w:right w:val="single" w:color="auto" w:sz="4" w:space="0"/>
            </w:tcBorders>
            <w:shd w:val="clear" w:color="auto" w:fill="auto"/>
            <w:noWrap/>
            <w:vAlign w:val="bottom"/>
          </w:tcPr>
          <w:p>
            <w:pPr>
              <w:widowControl/>
              <w:jc w:val="left"/>
              <w:rPr>
                <w:rFonts w:eastAsia="宋体"/>
                <w:sz w:val="20"/>
              </w:rPr>
            </w:pPr>
            <w:r>
              <w:rPr>
                <w:rFonts w:eastAsia="宋体"/>
                <w:sz w:val="20"/>
              </w:rPr>
              <w:t>　</w:t>
            </w:r>
            <w:r>
              <w:rPr>
                <w:rFonts w:hint="eastAsia" w:eastAsia="宋体"/>
                <w:sz w:val="20"/>
              </w:rPr>
              <w:t>11.38</w:t>
            </w:r>
          </w:p>
        </w:tc>
      </w:tr>
      <w:tr>
        <w:tblPrEx>
          <w:tblLayout w:type="fixed"/>
          <w:tblCellMar>
            <w:top w:w="0" w:type="dxa"/>
            <w:left w:w="108" w:type="dxa"/>
            <w:bottom w:w="0" w:type="dxa"/>
            <w:right w:w="108" w:type="dxa"/>
          </w:tblCellMar>
        </w:tblPrEx>
        <w:trPr>
          <w:trHeight w:val="610" w:hRule="atLeast"/>
          <w:jc w:val="center"/>
        </w:trPr>
        <w:tc>
          <w:tcPr>
            <w:tcW w:w="10856" w:type="dxa"/>
            <w:gridSpan w:val="4"/>
            <w:tcBorders>
              <w:top w:val="single" w:color="auto" w:sz="4" w:space="0"/>
              <w:left w:val="nil"/>
              <w:bottom w:val="nil"/>
              <w:right w:val="nil"/>
            </w:tcBorders>
            <w:shd w:val="clear" w:color="auto" w:fill="auto"/>
            <w:vAlign w:val="center"/>
          </w:tcPr>
          <w:p>
            <w:pPr>
              <w:widowControl/>
              <w:jc w:val="left"/>
              <w:rPr>
                <w:rFonts w:eastAsia="宋体"/>
                <w:sz w:val="20"/>
              </w:rPr>
            </w:pPr>
            <w:r>
              <w:rPr>
                <w:rFonts w:eastAsia="宋体"/>
                <w:sz w:val="20"/>
              </w:rPr>
              <w:t>注：“财政性资金”指纳入财政预算管理的资金，具体包括一般公共预算财政拨款、政府性基金预算财政拨款、财政专户管理事业收入和其他收入等。</w:t>
            </w:r>
          </w:p>
          <w:p>
            <w:pPr>
              <w:widowControl/>
              <w:jc w:val="left"/>
              <w:rPr>
                <w:rFonts w:eastAsia="宋体"/>
                <w:sz w:val="20"/>
              </w:rPr>
            </w:pPr>
          </w:p>
        </w:tc>
      </w:tr>
    </w:tbl>
    <w:p>
      <w:pPr>
        <w:tabs>
          <w:tab w:val="left" w:pos="3031"/>
        </w:tabs>
      </w:pPr>
      <w:r>
        <w:tab/>
      </w:r>
    </w:p>
    <w:p>
      <w:pPr>
        <w:tabs>
          <w:tab w:val="left" w:pos="3031"/>
        </w:tabs>
      </w:pPr>
    </w:p>
    <w:p>
      <w:pPr>
        <w:tabs>
          <w:tab w:val="left" w:pos="3031"/>
        </w:tabs>
        <w:sectPr>
          <w:pgSz w:w="16838" w:h="11906" w:orient="landscape"/>
          <w:pgMar w:top="1797" w:right="1440" w:bottom="1797" w:left="1440" w:header="851" w:footer="992" w:gutter="0"/>
          <w:cols w:space="425" w:num="1"/>
          <w:docGrid w:type="lines" w:linePitch="312" w:charSpace="0"/>
        </w:sectPr>
      </w:pPr>
    </w:p>
    <w:p>
      <w:pPr>
        <w:spacing w:before="100" w:beforeAutospacing="1" w:after="100" w:afterAutospacing="1" w:line="550" w:lineRule="exact"/>
        <w:jc w:val="center"/>
        <w:rPr>
          <w:rFonts w:eastAsia="方正小标宋_GBK"/>
          <w:sz w:val="36"/>
          <w:szCs w:val="36"/>
        </w:rPr>
      </w:pPr>
      <w:r>
        <w:rPr>
          <w:rFonts w:eastAsia="方正小标宋_GBK"/>
          <w:sz w:val="36"/>
          <w:szCs w:val="36"/>
        </w:rPr>
        <w:t>第三部分  2018年度决算情况说明</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一、收入支出总体情况说明</w:t>
      </w:r>
    </w:p>
    <w:p>
      <w:pPr>
        <w:spacing w:line="550" w:lineRule="exact"/>
        <w:ind w:firstLine="480" w:firstLineChars="200"/>
        <w:rPr>
          <w:sz w:val="24"/>
          <w:szCs w:val="24"/>
        </w:rPr>
      </w:pPr>
      <w:r>
        <w:rPr>
          <w:rFonts w:hint="eastAsia"/>
          <w:sz w:val="24"/>
          <w:szCs w:val="24"/>
          <w:u w:val="single"/>
        </w:rPr>
        <w:t>江苏传媒学校</w:t>
      </w:r>
      <w:r>
        <w:rPr>
          <w:sz w:val="24"/>
          <w:szCs w:val="24"/>
        </w:rPr>
        <w:t>2018年度收入、支出总计</w:t>
      </w:r>
      <w:r>
        <w:rPr>
          <w:rFonts w:hint="eastAsia"/>
          <w:sz w:val="24"/>
          <w:szCs w:val="24"/>
          <w:u w:val="single"/>
        </w:rPr>
        <w:t>2254.29</w:t>
      </w:r>
      <w:r>
        <w:rPr>
          <w:sz w:val="24"/>
          <w:szCs w:val="24"/>
        </w:rPr>
        <w:t>万元，与上年相比收、支总计各增加</w:t>
      </w:r>
      <w:r>
        <w:rPr>
          <w:rFonts w:hint="eastAsia"/>
          <w:sz w:val="24"/>
          <w:szCs w:val="24"/>
        </w:rPr>
        <w:t>394.66</w:t>
      </w:r>
      <w:r>
        <w:rPr>
          <w:sz w:val="24"/>
          <w:szCs w:val="24"/>
        </w:rPr>
        <w:t>万元，增长</w:t>
      </w:r>
      <w:r>
        <w:rPr>
          <w:rFonts w:hint="eastAsia"/>
          <w:sz w:val="24"/>
          <w:szCs w:val="24"/>
          <w:u w:val="single"/>
        </w:rPr>
        <w:t>21.22</w:t>
      </w:r>
      <w:r>
        <w:rPr>
          <w:sz w:val="24"/>
          <w:szCs w:val="24"/>
        </w:rPr>
        <w:t>%。其中：</w:t>
      </w:r>
    </w:p>
    <w:p>
      <w:pPr>
        <w:spacing w:line="550" w:lineRule="exact"/>
        <w:ind w:firstLine="480" w:firstLineChars="200"/>
        <w:rPr>
          <w:sz w:val="24"/>
          <w:szCs w:val="24"/>
        </w:rPr>
      </w:pPr>
      <w:r>
        <w:rPr>
          <w:sz w:val="24"/>
          <w:szCs w:val="24"/>
        </w:rPr>
        <w:t>（一）收入总计</w:t>
      </w:r>
      <w:r>
        <w:rPr>
          <w:rFonts w:hint="eastAsia"/>
          <w:sz w:val="24"/>
          <w:szCs w:val="24"/>
          <w:u w:val="single"/>
        </w:rPr>
        <w:t>2254.29</w:t>
      </w:r>
      <w:r>
        <w:rPr>
          <w:sz w:val="24"/>
          <w:szCs w:val="24"/>
          <w:u w:val="single"/>
        </w:rPr>
        <w:t xml:space="preserve"> </w:t>
      </w:r>
      <w:r>
        <w:rPr>
          <w:sz w:val="24"/>
          <w:szCs w:val="24"/>
        </w:rPr>
        <w:t>万元。包括：</w:t>
      </w:r>
    </w:p>
    <w:p>
      <w:pPr>
        <w:spacing w:line="550" w:lineRule="exact"/>
        <w:ind w:firstLine="480" w:firstLineChars="200"/>
        <w:rPr>
          <w:sz w:val="24"/>
          <w:szCs w:val="24"/>
        </w:rPr>
      </w:pPr>
      <w:r>
        <w:rPr>
          <w:sz w:val="24"/>
          <w:szCs w:val="24"/>
        </w:rPr>
        <w:t>1．财政拨款收入</w:t>
      </w:r>
      <w:r>
        <w:rPr>
          <w:rFonts w:hint="eastAsia"/>
          <w:sz w:val="24"/>
          <w:szCs w:val="24"/>
          <w:u w:val="single"/>
        </w:rPr>
        <w:t>1637.68</w:t>
      </w:r>
      <w:r>
        <w:rPr>
          <w:sz w:val="24"/>
          <w:szCs w:val="24"/>
          <w:u w:val="single"/>
        </w:rPr>
        <w:t xml:space="preserve"> </w:t>
      </w:r>
      <w:r>
        <w:rPr>
          <w:sz w:val="24"/>
          <w:szCs w:val="24"/>
        </w:rPr>
        <w:t>万元，为当年从财政取得的一般公共预算拨款， 与上年相比增加</w:t>
      </w:r>
      <w:r>
        <w:rPr>
          <w:rFonts w:hint="eastAsia"/>
          <w:sz w:val="24"/>
          <w:szCs w:val="24"/>
          <w:u w:val="single"/>
        </w:rPr>
        <w:t>90.52</w:t>
      </w:r>
      <w:r>
        <w:rPr>
          <w:sz w:val="24"/>
          <w:szCs w:val="24"/>
        </w:rPr>
        <w:t>万元，增长</w:t>
      </w:r>
      <w:r>
        <w:rPr>
          <w:sz w:val="24"/>
          <w:szCs w:val="24"/>
          <w:u w:val="single"/>
        </w:rPr>
        <w:t xml:space="preserve"> </w:t>
      </w:r>
      <w:r>
        <w:rPr>
          <w:rFonts w:hint="eastAsia"/>
          <w:sz w:val="24"/>
          <w:szCs w:val="24"/>
          <w:u w:val="single"/>
        </w:rPr>
        <w:t>5.85</w:t>
      </w:r>
      <w:r>
        <w:rPr>
          <w:sz w:val="24"/>
          <w:szCs w:val="24"/>
        </w:rPr>
        <w:t>%。主要原因是</w:t>
      </w:r>
      <w:r>
        <w:rPr>
          <w:rFonts w:hint="eastAsia"/>
          <w:sz w:val="24"/>
          <w:szCs w:val="24"/>
        </w:rPr>
        <w:t>生均拨款的增加</w:t>
      </w:r>
      <w:r>
        <w:rPr>
          <w:sz w:val="24"/>
          <w:szCs w:val="24"/>
        </w:rPr>
        <w:t>。</w:t>
      </w:r>
    </w:p>
    <w:p>
      <w:pPr>
        <w:spacing w:line="550" w:lineRule="exact"/>
        <w:ind w:firstLine="480" w:firstLineChars="200"/>
        <w:rPr>
          <w:sz w:val="24"/>
          <w:szCs w:val="24"/>
        </w:rPr>
      </w:pPr>
      <w:r>
        <w:rPr>
          <w:rFonts w:hint="eastAsia"/>
          <w:sz w:val="24"/>
          <w:szCs w:val="24"/>
        </w:rPr>
        <w:t>2</w:t>
      </w:r>
      <w:r>
        <w:rPr>
          <w:sz w:val="24"/>
          <w:szCs w:val="24"/>
        </w:rPr>
        <w:t>．事业收入</w:t>
      </w:r>
      <w:r>
        <w:rPr>
          <w:rFonts w:hint="eastAsia"/>
          <w:sz w:val="24"/>
          <w:szCs w:val="24"/>
          <w:u w:val="single"/>
        </w:rPr>
        <w:t>279.9</w:t>
      </w:r>
      <w:r>
        <w:rPr>
          <w:sz w:val="24"/>
          <w:szCs w:val="24"/>
        </w:rPr>
        <w:t>万元，为</w:t>
      </w:r>
      <w:r>
        <w:rPr>
          <w:rFonts w:hint="eastAsia"/>
          <w:sz w:val="24"/>
          <w:szCs w:val="24"/>
          <w:u w:val="single"/>
        </w:rPr>
        <w:t>上交学杂费</w:t>
      </w:r>
      <w:r>
        <w:rPr>
          <w:sz w:val="24"/>
          <w:szCs w:val="24"/>
        </w:rPr>
        <w:t>取得的收入。与上年相比减少</w:t>
      </w:r>
      <w:r>
        <w:rPr>
          <w:rFonts w:hint="eastAsia"/>
          <w:sz w:val="24"/>
          <w:szCs w:val="24"/>
          <w:u w:val="single"/>
        </w:rPr>
        <w:t>25.1</w:t>
      </w:r>
      <w:r>
        <w:rPr>
          <w:sz w:val="24"/>
          <w:szCs w:val="24"/>
        </w:rPr>
        <w:t>万元，减少</w:t>
      </w:r>
      <w:r>
        <w:rPr>
          <w:rFonts w:hint="eastAsia"/>
          <w:sz w:val="24"/>
          <w:szCs w:val="24"/>
          <w:u w:val="single"/>
        </w:rPr>
        <w:t>8.23</w:t>
      </w:r>
      <w:r>
        <w:rPr>
          <w:sz w:val="24"/>
          <w:szCs w:val="24"/>
        </w:rPr>
        <w:t>%。主要原因是</w:t>
      </w:r>
      <w:r>
        <w:rPr>
          <w:rFonts w:hint="eastAsia"/>
          <w:sz w:val="24"/>
          <w:szCs w:val="24"/>
        </w:rPr>
        <w:t>在校生减少</w:t>
      </w:r>
      <w:r>
        <w:rPr>
          <w:sz w:val="24"/>
          <w:szCs w:val="24"/>
        </w:rPr>
        <w:t>。</w:t>
      </w:r>
    </w:p>
    <w:p>
      <w:pPr>
        <w:spacing w:line="550" w:lineRule="exact"/>
        <w:ind w:firstLine="480" w:firstLineChars="200"/>
        <w:rPr>
          <w:sz w:val="24"/>
          <w:szCs w:val="24"/>
        </w:rPr>
      </w:pPr>
      <w:r>
        <w:rPr>
          <w:rFonts w:hint="eastAsia"/>
          <w:sz w:val="24"/>
          <w:szCs w:val="24"/>
        </w:rPr>
        <w:t>3</w:t>
      </w:r>
      <w:r>
        <w:rPr>
          <w:sz w:val="24"/>
          <w:szCs w:val="24"/>
        </w:rPr>
        <w:t>．其他收入</w:t>
      </w:r>
      <w:r>
        <w:rPr>
          <w:rFonts w:hint="eastAsia"/>
          <w:sz w:val="24"/>
          <w:szCs w:val="24"/>
          <w:u w:val="single"/>
        </w:rPr>
        <w:t>336.71</w:t>
      </w:r>
      <w:r>
        <w:rPr>
          <w:sz w:val="24"/>
          <w:szCs w:val="24"/>
        </w:rPr>
        <w:t>万元，为单位取得的除上述收入以外的各项收入，主要为</w:t>
      </w:r>
      <w:r>
        <w:rPr>
          <w:rFonts w:hint="eastAsia"/>
          <w:sz w:val="24"/>
          <w:szCs w:val="24"/>
          <w:u w:val="single"/>
        </w:rPr>
        <w:t>江苏传媒学校</w:t>
      </w:r>
      <w:r>
        <w:rPr>
          <w:sz w:val="24"/>
          <w:szCs w:val="24"/>
        </w:rPr>
        <w:t>取得的</w:t>
      </w:r>
      <w:r>
        <w:rPr>
          <w:rFonts w:hint="eastAsia"/>
          <w:sz w:val="24"/>
          <w:szCs w:val="24"/>
          <w:u w:val="single"/>
        </w:rPr>
        <w:t>社保中心拨付的养老保险差额</w:t>
      </w:r>
      <w:r>
        <w:rPr>
          <w:sz w:val="24"/>
          <w:szCs w:val="24"/>
          <w:u w:val="single"/>
        </w:rPr>
        <w:t>收入</w:t>
      </w:r>
      <w:r>
        <w:rPr>
          <w:sz w:val="24"/>
          <w:szCs w:val="24"/>
        </w:rPr>
        <w:t>。</w:t>
      </w:r>
    </w:p>
    <w:p>
      <w:pPr>
        <w:spacing w:line="550" w:lineRule="exact"/>
        <w:ind w:firstLine="480" w:firstLineChars="200"/>
        <w:rPr>
          <w:sz w:val="24"/>
          <w:szCs w:val="24"/>
        </w:rPr>
      </w:pPr>
      <w:r>
        <w:rPr>
          <w:rFonts w:hint="eastAsia"/>
          <w:sz w:val="24"/>
          <w:szCs w:val="24"/>
        </w:rPr>
        <w:t>4</w:t>
      </w:r>
      <w:r>
        <w:rPr>
          <w:sz w:val="24"/>
          <w:szCs w:val="24"/>
        </w:rPr>
        <w:t>．年初结转和结余</w:t>
      </w:r>
      <w:r>
        <w:rPr>
          <w:sz w:val="24"/>
          <w:szCs w:val="24"/>
          <w:u w:val="single"/>
        </w:rPr>
        <w:t xml:space="preserve">  </w:t>
      </w:r>
      <w:r>
        <w:rPr>
          <w:rFonts w:hint="eastAsia"/>
          <w:sz w:val="24"/>
          <w:szCs w:val="24"/>
          <w:u w:val="single"/>
        </w:rPr>
        <w:t>47.65</w:t>
      </w:r>
      <w:r>
        <w:rPr>
          <w:sz w:val="24"/>
          <w:szCs w:val="24"/>
          <w:u w:val="single"/>
        </w:rPr>
        <w:t xml:space="preserve"> </w:t>
      </w:r>
      <w:r>
        <w:rPr>
          <w:sz w:val="24"/>
          <w:szCs w:val="24"/>
        </w:rPr>
        <w:t>万元，主要为上年结转本年使用的</w:t>
      </w:r>
      <w:r>
        <w:rPr>
          <w:rFonts w:hint="eastAsia"/>
          <w:sz w:val="24"/>
          <w:szCs w:val="24"/>
          <w:u w:val="single"/>
        </w:rPr>
        <w:t>项目</w:t>
      </w:r>
      <w:r>
        <w:rPr>
          <w:sz w:val="24"/>
          <w:szCs w:val="24"/>
          <w:u w:val="single"/>
        </w:rPr>
        <w:t>资金</w:t>
      </w:r>
      <w:r>
        <w:rPr>
          <w:sz w:val="24"/>
          <w:szCs w:val="24"/>
        </w:rPr>
        <w:t>。</w:t>
      </w:r>
    </w:p>
    <w:p>
      <w:pPr>
        <w:spacing w:line="550" w:lineRule="exact"/>
        <w:ind w:firstLine="480" w:firstLineChars="200"/>
        <w:rPr>
          <w:sz w:val="24"/>
          <w:szCs w:val="24"/>
        </w:rPr>
      </w:pPr>
      <w:r>
        <w:rPr>
          <w:sz w:val="24"/>
          <w:szCs w:val="24"/>
        </w:rPr>
        <w:t>（二）支出总计</w:t>
      </w:r>
      <w:r>
        <w:rPr>
          <w:rFonts w:hint="eastAsia"/>
          <w:sz w:val="24"/>
          <w:szCs w:val="24"/>
          <w:u w:val="single"/>
        </w:rPr>
        <w:t>2183.1</w:t>
      </w:r>
      <w:r>
        <w:rPr>
          <w:sz w:val="24"/>
          <w:szCs w:val="24"/>
          <w:u w:val="single"/>
        </w:rPr>
        <w:t xml:space="preserve"> </w:t>
      </w:r>
      <w:r>
        <w:rPr>
          <w:sz w:val="24"/>
          <w:szCs w:val="24"/>
        </w:rPr>
        <w:t>万元。包括：</w:t>
      </w:r>
    </w:p>
    <w:p>
      <w:pPr>
        <w:spacing w:line="550" w:lineRule="exact"/>
        <w:ind w:firstLine="480" w:firstLineChars="200"/>
        <w:rPr>
          <w:sz w:val="24"/>
          <w:szCs w:val="24"/>
        </w:rPr>
      </w:pPr>
      <w:r>
        <w:rPr>
          <w:sz w:val="24"/>
          <w:szCs w:val="24"/>
        </w:rPr>
        <w:t>1．</w:t>
      </w:r>
      <w:r>
        <w:rPr>
          <w:rFonts w:hint="eastAsia"/>
          <w:sz w:val="24"/>
          <w:szCs w:val="24"/>
        </w:rPr>
        <w:t>教育</w:t>
      </w:r>
      <w:r>
        <w:rPr>
          <w:sz w:val="24"/>
          <w:szCs w:val="24"/>
        </w:rPr>
        <w:t>（类）支出</w:t>
      </w:r>
      <w:r>
        <w:rPr>
          <w:rFonts w:hint="eastAsia"/>
          <w:sz w:val="24"/>
          <w:szCs w:val="24"/>
          <w:u w:val="single"/>
        </w:rPr>
        <w:t>1618.86</w:t>
      </w:r>
      <w:r>
        <w:rPr>
          <w:sz w:val="24"/>
          <w:szCs w:val="24"/>
        </w:rPr>
        <w:t>万元，主要用于</w:t>
      </w:r>
      <w:r>
        <w:rPr>
          <w:rFonts w:hint="eastAsia"/>
          <w:sz w:val="24"/>
          <w:szCs w:val="24"/>
        </w:rPr>
        <w:t>职业教育</w:t>
      </w:r>
      <w:r>
        <w:rPr>
          <w:sz w:val="24"/>
          <w:szCs w:val="24"/>
        </w:rPr>
        <w:t>。与上年相比减少</w:t>
      </w:r>
      <w:r>
        <w:rPr>
          <w:rFonts w:hint="eastAsia"/>
          <w:sz w:val="24"/>
          <w:szCs w:val="24"/>
          <w:u w:val="single"/>
        </w:rPr>
        <w:t>452.53</w:t>
      </w:r>
      <w:r>
        <w:rPr>
          <w:sz w:val="24"/>
          <w:szCs w:val="24"/>
        </w:rPr>
        <w:t>万元，减少</w:t>
      </w:r>
      <w:r>
        <w:rPr>
          <w:rFonts w:hint="eastAsia"/>
          <w:sz w:val="24"/>
          <w:szCs w:val="24"/>
          <w:u w:val="single"/>
        </w:rPr>
        <w:t>21.85</w:t>
      </w:r>
      <w:r>
        <w:rPr>
          <w:sz w:val="24"/>
          <w:szCs w:val="24"/>
        </w:rPr>
        <w:t>%。主要原因是</w:t>
      </w:r>
      <w:r>
        <w:rPr>
          <w:rFonts w:hint="eastAsia"/>
          <w:sz w:val="24"/>
          <w:szCs w:val="24"/>
        </w:rPr>
        <w:t>功能科目调整，增加了养老保险支出</w:t>
      </w:r>
      <w:r>
        <w:rPr>
          <w:sz w:val="24"/>
          <w:szCs w:val="24"/>
        </w:rPr>
        <w:t>。</w:t>
      </w:r>
    </w:p>
    <w:p>
      <w:pPr>
        <w:spacing w:line="550" w:lineRule="exact"/>
        <w:ind w:firstLine="480" w:firstLineChars="200"/>
        <w:rPr>
          <w:sz w:val="24"/>
          <w:szCs w:val="24"/>
        </w:rPr>
      </w:pPr>
      <w:r>
        <w:rPr>
          <w:sz w:val="24"/>
          <w:szCs w:val="24"/>
        </w:rPr>
        <w:t>2．</w:t>
      </w:r>
      <w:r>
        <w:rPr>
          <w:rFonts w:hint="eastAsia"/>
          <w:sz w:val="24"/>
          <w:szCs w:val="24"/>
        </w:rPr>
        <w:t>社会保障和就业</w:t>
      </w:r>
      <w:r>
        <w:rPr>
          <w:sz w:val="24"/>
          <w:szCs w:val="24"/>
        </w:rPr>
        <w:t>（类）支出</w:t>
      </w:r>
      <w:r>
        <w:rPr>
          <w:rFonts w:hint="eastAsia"/>
          <w:sz w:val="24"/>
          <w:szCs w:val="24"/>
          <w:u w:val="single"/>
        </w:rPr>
        <w:t>264.88</w:t>
      </w:r>
      <w:r>
        <w:rPr>
          <w:sz w:val="24"/>
          <w:szCs w:val="24"/>
          <w:u w:val="single"/>
        </w:rPr>
        <w:t xml:space="preserve"> </w:t>
      </w:r>
      <w:r>
        <w:rPr>
          <w:sz w:val="24"/>
          <w:szCs w:val="24"/>
        </w:rPr>
        <w:t>万元，主要用于</w:t>
      </w:r>
      <w:r>
        <w:rPr>
          <w:rFonts w:hint="eastAsia"/>
          <w:sz w:val="24"/>
          <w:szCs w:val="24"/>
        </w:rPr>
        <w:t>养老保险支出</w:t>
      </w:r>
      <w:r>
        <w:rPr>
          <w:sz w:val="24"/>
          <w:szCs w:val="24"/>
        </w:rPr>
        <w:t>。与上年相比增加</w:t>
      </w:r>
      <w:r>
        <w:rPr>
          <w:sz w:val="24"/>
          <w:szCs w:val="24"/>
          <w:u w:val="single"/>
        </w:rPr>
        <w:t xml:space="preserve">    </w:t>
      </w:r>
      <w:r>
        <w:rPr>
          <w:rFonts w:hint="eastAsia"/>
          <w:sz w:val="24"/>
          <w:szCs w:val="24"/>
          <w:u w:val="single"/>
        </w:rPr>
        <w:t>264.88</w:t>
      </w:r>
      <w:r>
        <w:rPr>
          <w:sz w:val="24"/>
          <w:szCs w:val="24"/>
        </w:rPr>
        <w:t>万元。主要原因是</w:t>
      </w:r>
      <w:r>
        <w:rPr>
          <w:rFonts w:hint="eastAsia"/>
          <w:sz w:val="24"/>
          <w:szCs w:val="24"/>
        </w:rPr>
        <w:t>养老保险改革</w:t>
      </w:r>
      <w:r>
        <w:rPr>
          <w:sz w:val="24"/>
          <w:szCs w:val="24"/>
        </w:rPr>
        <w:t>。</w:t>
      </w:r>
    </w:p>
    <w:p>
      <w:pPr>
        <w:spacing w:line="550" w:lineRule="exact"/>
        <w:ind w:firstLine="480" w:firstLineChars="200"/>
        <w:rPr>
          <w:sz w:val="24"/>
          <w:szCs w:val="24"/>
        </w:rPr>
      </w:pPr>
      <w:r>
        <w:rPr>
          <w:rFonts w:hint="eastAsia"/>
          <w:sz w:val="24"/>
          <w:szCs w:val="24"/>
        </w:rPr>
        <w:t>3.住房保障</w:t>
      </w:r>
      <w:r>
        <w:rPr>
          <w:sz w:val="24"/>
          <w:szCs w:val="24"/>
        </w:rPr>
        <w:t>（类）支出</w:t>
      </w:r>
      <w:r>
        <w:rPr>
          <w:rFonts w:hint="eastAsia"/>
          <w:sz w:val="24"/>
          <w:szCs w:val="24"/>
          <w:u w:val="single"/>
        </w:rPr>
        <w:t>299.36</w:t>
      </w:r>
      <w:r>
        <w:rPr>
          <w:sz w:val="24"/>
          <w:szCs w:val="24"/>
        </w:rPr>
        <w:t>万元，主要用于</w:t>
      </w:r>
      <w:r>
        <w:rPr>
          <w:rFonts w:hint="eastAsia"/>
          <w:sz w:val="24"/>
          <w:szCs w:val="24"/>
        </w:rPr>
        <w:t>公积金和住房补贴支出</w:t>
      </w:r>
      <w:r>
        <w:rPr>
          <w:sz w:val="24"/>
          <w:szCs w:val="24"/>
        </w:rPr>
        <w:t>。与上年相比增加</w:t>
      </w:r>
      <w:r>
        <w:rPr>
          <w:rFonts w:hint="eastAsia"/>
          <w:sz w:val="24"/>
          <w:szCs w:val="24"/>
          <w:u w:val="single"/>
        </w:rPr>
        <w:t>28.31</w:t>
      </w:r>
      <w:r>
        <w:rPr>
          <w:sz w:val="24"/>
          <w:szCs w:val="24"/>
          <w:u w:val="single"/>
        </w:rPr>
        <w:t xml:space="preserve"> </w:t>
      </w:r>
      <w:r>
        <w:rPr>
          <w:sz w:val="24"/>
          <w:szCs w:val="24"/>
        </w:rPr>
        <w:t>万元，增长</w:t>
      </w:r>
      <w:r>
        <w:rPr>
          <w:rFonts w:hint="eastAsia"/>
          <w:sz w:val="24"/>
          <w:szCs w:val="24"/>
          <w:u w:val="single"/>
        </w:rPr>
        <w:t>10.44</w:t>
      </w:r>
      <w:r>
        <w:rPr>
          <w:sz w:val="24"/>
          <w:szCs w:val="24"/>
        </w:rPr>
        <w:t>%。主要原因是</w:t>
      </w:r>
      <w:r>
        <w:rPr>
          <w:rFonts w:hint="eastAsia"/>
          <w:sz w:val="24"/>
          <w:szCs w:val="24"/>
        </w:rPr>
        <w:t>公积金和房帖的调整</w:t>
      </w:r>
      <w:r>
        <w:rPr>
          <w:sz w:val="24"/>
          <w:szCs w:val="24"/>
        </w:rPr>
        <w:t>。</w:t>
      </w:r>
    </w:p>
    <w:p>
      <w:pPr>
        <w:spacing w:line="550" w:lineRule="exact"/>
        <w:ind w:firstLine="480" w:firstLineChars="200"/>
        <w:rPr>
          <w:sz w:val="24"/>
          <w:szCs w:val="24"/>
        </w:rPr>
      </w:pPr>
      <w:r>
        <w:rPr>
          <w:sz w:val="24"/>
          <w:szCs w:val="24"/>
        </w:rPr>
        <w:t>3．结余分配</w:t>
      </w:r>
      <w:r>
        <w:rPr>
          <w:rFonts w:hint="eastAsia"/>
          <w:sz w:val="24"/>
          <w:szCs w:val="24"/>
          <w:u w:val="single"/>
        </w:rPr>
        <w:t>108.35</w:t>
      </w:r>
      <w:r>
        <w:rPr>
          <w:sz w:val="24"/>
          <w:szCs w:val="24"/>
          <w:u w:val="single"/>
        </w:rPr>
        <w:t xml:space="preserve"> </w:t>
      </w:r>
      <w:r>
        <w:rPr>
          <w:sz w:val="24"/>
          <w:szCs w:val="24"/>
        </w:rPr>
        <w:t>万元，为单位当年结余的分配情况，主要是对非财政补助结余按规定计算缴纳的企业所得税、提取的职工福利基金和转入事业基金等。与上年相比增加</w:t>
      </w:r>
      <w:r>
        <w:rPr>
          <w:rFonts w:hint="eastAsia"/>
          <w:sz w:val="24"/>
          <w:szCs w:val="24"/>
        </w:rPr>
        <w:t>108.35</w:t>
      </w:r>
      <w:r>
        <w:rPr>
          <w:sz w:val="24"/>
          <w:szCs w:val="24"/>
          <w:u w:val="single"/>
        </w:rPr>
        <w:t xml:space="preserve">    </w:t>
      </w:r>
      <w:r>
        <w:rPr>
          <w:sz w:val="24"/>
          <w:szCs w:val="24"/>
        </w:rPr>
        <w:t>万元。</w:t>
      </w:r>
    </w:p>
    <w:p>
      <w:pPr>
        <w:spacing w:line="550" w:lineRule="exact"/>
        <w:ind w:firstLine="480" w:firstLineChars="200"/>
        <w:rPr>
          <w:sz w:val="24"/>
          <w:szCs w:val="24"/>
        </w:rPr>
      </w:pPr>
      <w:r>
        <w:rPr>
          <w:sz w:val="24"/>
          <w:szCs w:val="24"/>
        </w:rPr>
        <w:t>4．年末结转和结余</w:t>
      </w:r>
      <w:r>
        <w:rPr>
          <w:rFonts w:hint="eastAsia"/>
          <w:sz w:val="24"/>
          <w:szCs w:val="24"/>
          <w:u w:val="single"/>
        </w:rPr>
        <w:t>10.48</w:t>
      </w:r>
      <w:r>
        <w:rPr>
          <w:sz w:val="24"/>
          <w:szCs w:val="24"/>
          <w:u w:val="single"/>
        </w:rPr>
        <w:t xml:space="preserve"> </w:t>
      </w:r>
      <w:r>
        <w:rPr>
          <w:sz w:val="24"/>
          <w:szCs w:val="24"/>
        </w:rPr>
        <w:t>万元，为单位结转下年的项目支出结转和结余和经营结余。主要为</w:t>
      </w:r>
      <w:r>
        <w:rPr>
          <w:sz w:val="24"/>
          <w:szCs w:val="24"/>
          <w:u w:val="single"/>
        </w:rPr>
        <w:t>项目</w:t>
      </w:r>
      <w:r>
        <w:rPr>
          <w:rFonts w:hint="eastAsia"/>
          <w:sz w:val="24"/>
          <w:szCs w:val="24"/>
          <w:u w:val="single"/>
        </w:rPr>
        <w:t>资金</w:t>
      </w:r>
      <w:r>
        <w:rPr>
          <w:sz w:val="24"/>
          <w:szCs w:val="24"/>
        </w:rPr>
        <w:t>无法按原计划实施，需要延迟到以后年度按有关规定使用的资金。</w:t>
      </w:r>
    </w:p>
    <w:p>
      <w:pPr>
        <w:spacing w:line="550" w:lineRule="exact"/>
        <w:ind w:firstLine="480" w:firstLineChars="200"/>
        <w:rPr>
          <w:sz w:val="24"/>
          <w:szCs w:val="24"/>
        </w:rPr>
      </w:pPr>
    </w:p>
    <w:p>
      <w:pPr>
        <w:spacing w:line="550" w:lineRule="exact"/>
        <w:ind w:firstLine="480" w:firstLineChars="200"/>
        <w:rPr>
          <w:rFonts w:ascii="方正黑体_GBK" w:eastAsia="方正黑体_GBK"/>
          <w:sz w:val="24"/>
          <w:szCs w:val="24"/>
        </w:rPr>
      </w:pPr>
      <w:r>
        <w:rPr>
          <w:rFonts w:ascii="方正黑体_GBK" w:eastAsia="方正黑体_GBK"/>
          <w:sz w:val="24"/>
          <w:szCs w:val="24"/>
        </w:rPr>
        <w:t>二、收入决算情况说明</w:t>
      </w:r>
    </w:p>
    <w:p>
      <w:pPr>
        <w:spacing w:line="550" w:lineRule="exact"/>
        <w:ind w:firstLine="480" w:firstLineChars="200"/>
        <w:rPr>
          <w:i/>
          <w:sz w:val="24"/>
          <w:szCs w:val="24"/>
        </w:rPr>
      </w:pPr>
      <w:r>
        <w:rPr>
          <w:rFonts w:hint="eastAsia"/>
          <w:sz w:val="24"/>
          <w:szCs w:val="24"/>
          <w:u w:val="single"/>
        </w:rPr>
        <w:t>江苏传媒学校</w:t>
      </w:r>
      <w:r>
        <w:rPr>
          <w:sz w:val="24"/>
          <w:szCs w:val="24"/>
        </w:rPr>
        <w:t>本年收入合计</w:t>
      </w:r>
      <w:r>
        <w:rPr>
          <w:rFonts w:hint="eastAsia"/>
          <w:sz w:val="24"/>
          <w:szCs w:val="24"/>
          <w:u w:val="single"/>
        </w:rPr>
        <w:t>2254.29</w:t>
      </w:r>
      <w:r>
        <w:rPr>
          <w:sz w:val="24"/>
          <w:szCs w:val="24"/>
        </w:rPr>
        <w:t>万元，其中：财政拨款收入</w:t>
      </w:r>
      <w:r>
        <w:rPr>
          <w:rFonts w:hint="eastAsia"/>
          <w:sz w:val="24"/>
          <w:szCs w:val="24"/>
          <w:u w:val="single"/>
        </w:rPr>
        <w:t>1637.68</w:t>
      </w:r>
      <w:r>
        <w:rPr>
          <w:sz w:val="24"/>
          <w:szCs w:val="24"/>
        </w:rPr>
        <w:t>万元，占</w:t>
      </w:r>
      <w:r>
        <w:rPr>
          <w:rFonts w:hint="eastAsia"/>
          <w:sz w:val="24"/>
          <w:szCs w:val="24"/>
          <w:u w:val="single"/>
        </w:rPr>
        <w:t>72.65</w:t>
      </w:r>
      <w:r>
        <w:rPr>
          <w:sz w:val="24"/>
          <w:szCs w:val="24"/>
        </w:rPr>
        <w:t>%；上级补助收入</w:t>
      </w:r>
      <w:r>
        <w:rPr>
          <w:rFonts w:hint="eastAsia"/>
          <w:sz w:val="24"/>
          <w:szCs w:val="24"/>
          <w:u w:val="single"/>
        </w:rPr>
        <w:t>0</w:t>
      </w:r>
      <w:r>
        <w:rPr>
          <w:sz w:val="24"/>
          <w:szCs w:val="24"/>
        </w:rPr>
        <w:t>万元，占</w:t>
      </w:r>
      <w:r>
        <w:rPr>
          <w:rFonts w:hint="eastAsia"/>
          <w:sz w:val="24"/>
          <w:szCs w:val="24"/>
          <w:u w:val="single"/>
        </w:rPr>
        <w:t>0</w:t>
      </w:r>
      <w:r>
        <w:rPr>
          <w:sz w:val="24"/>
          <w:szCs w:val="24"/>
        </w:rPr>
        <w:t>%；事业收入</w:t>
      </w:r>
      <w:r>
        <w:rPr>
          <w:rFonts w:hint="eastAsia"/>
          <w:sz w:val="24"/>
          <w:szCs w:val="24"/>
          <w:u w:val="single"/>
        </w:rPr>
        <w:t>279.9</w:t>
      </w:r>
      <w:r>
        <w:rPr>
          <w:sz w:val="24"/>
          <w:szCs w:val="24"/>
        </w:rPr>
        <w:t>万元，占</w:t>
      </w:r>
      <w:r>
        <w:rPr>
          <w:rFonts w:hint="eastAsia"/>
          <w:sz w:val="24"/>
          <w:szCs w:val="24"/>
          <w:u w:val="single"/>
        </w:rPr>
        <w:t>12.42</w:t>
      </w:r>
      <w:r>
        <w:rPr>
          <w:sz w:val="24"/>
          <w:szCs w:val="24"/>
        </w:rPr>
        <w:t>%；其他收入</w:t>
      </w:r>
      <w:r>
        <w:rPr>
          <w:rFonts w:hint="eastAsia"/>
          <w:sz w:val="24"/>
          <w:szCs w:val="24"/>
          <w:u w:val="single"/>
        </w:rPr>
        <w:t>336.71</w:t>
      </w:r>
      <w:r>
        <w:rPr>
          <w:sz w:val="24"/>
          <w:szCs w:val="24"/>
        </w:rPr>
        <w:t>万元，占</w:t>
      </w:r>
      <w:r>
        <w:rPr>
          <w:rFonts w:hint="eastAsia"/>
          <w:sz w:val="24"/>
          <w:szCs w:val="24"/>
          <w:u w:val="single"/>
        </w:rPr>
        <w:t>14.94</w:t>
      </w:r>
      <w:r>
        <w:rPr>
          <w:sz w:val="24"/>
          <w:szCs w:val="24"/>
          <w:u w:val="single"/>
        </w:rPr>
        <w:t xml:space="preserve"> </w:t>
      </w:r>
      <w:r>
        <w:rPr>
          <w:sz w:val="24"/>
          <w:szCs w:val="24"/>
        </w:rPr>
        <w:t>%。</w:t>
      </w:r>
    </w:p>
    <w:p>
      <w:pPr>
        <w:spacing w:line="550" w:lineRule="exact"/>
        <w:ind w:firstLine="480" w:firstLineChars="200"/>
        <w:jc w:val="center"/>
        <w:rPr>
          <w:sz w:val="24"/>
          <w:szCs w:val="24"/>
        </w:rPr>
      </w:pPr>
      <w:r>
        <w:rPr>
          <w:sz w:val="24"/>
          <w:szCs w:val="24"/>
        </w:rPr>
        <w:t>图1：收入决算图</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三、支出决算情况说明</w:t>
      </w:r>
    </w:p>
    <w:p>
      <w:pPr>
        <w:spacing w:line="550" w:lineRule="exact"/>
        <w:ind w:left="105" w:leftChars="50" w:firstLine="360" w:firstLineChars="150"/>
        <w:rPr>
          <w:i/>
          <w:sz w:val="24"/>
          <w:szCs w:val="24"/>
        </w:rPr>
      </w:pPr>
      <w:r>
        <w:rPr>
          <w:rFonts w:hint="eastAsia"/>
          <w:sz w:val="24"/>
          <w:szCs w:val="24"/>
          <w:u w:val="single"/>
        </w:rPr>
        <w:t>江苏传媒学校</w:t>
      </w:r>
      <w:r>
        <w:rPr>
          <w:sz w:val="24"/>
          <w:szCs w:val="24"/>
        </w:rPr>
        <w:t>本年支出合计</w:t>
      </w:r>
      <w:r>
        <w:rPr>
          <w:rFonts w:hint="eastAsia"/>
          <w:sz w:val="24"/>
          <w:szCs w:val="24"/>
          <w:u w:val="single"/>
        </w:rPr>
        <w:t>2183.10</w:t>
      </w:r>
      <w:r>
        <w:rPr>
          <w:sz w:val="24"/>
          <w:szCs w:val="24"/>
        </w:rPr>
        <w:t>万元，其中：基本支出</w:t>
      </w:r>
      <w:r>
        <w:rPr>
          <w:rFonts w:hint="eastAsia"/>
          <w:sz w:val="24"/>
          <w:szCs w:val="24"/>
          <w:u w:val="single"/>
        </w:rPr>
        <w:t>1995.55</w:t>
      </w:r>
      <w:r>
        <w:rPr>
          <w:sz w:val="24"/>
          <w:szCs w:val="24"/>
        </w:rPr>
        <w:t>万元，占</w:t>
      </w:r>
      <w:r>
        <w:rPr>
          <w:rFonts w:hint="eastAsia"/>
          <w:sz w:val="24"/>
          <w:szCs w:val="24"/>
          <w:u w:val="single"/>
        </w:rPr>
        <w:t>91.41</w:t>
      </w:r>
      <w:r>
        <w:rPr>
          <w:sz w:val="24"/>
          <w:szCs w:val="24"/>
        </w:rPr>
        <w:t>%；项目支出</w:t>
      </w:r>
      <w:r>
        <w:rPr>
          <w:rFonts w:hint="eastAsia"/>
          <w:sz w:val="24"/>
          <w:szCs w:val="24"/>
          <w:u w:val="single"/>
        </w:rPr>
        <w:t>187.56</w:t>
      </w:r>
      <w:r>
        <w:rPr>
          <w:sz w:val="24"/>
          <w:szCs w:val="24"/>
        </w:rPr>
        <w:t>万元，占</w:t>
      </w:r>
      <w:r>
        <w:rPr>
          <w:rFonts w:hint="eastAsia"/>
          <w:sz w:val="24"/>
          <w:szCs w:val="24"/>
          <w:u w:val="single"/>
        </w:rPr>
        <w:t>8.59</w:t>
      </w:r>
      <w:r>
        <w:rPr>
          <w:sz w:val="24"/>
          <w:szCs w:val="24"/>
        </w:rPr>
        <w:t>%。</w:t>
      </w:r>
    </w:p>
    <w:p>
      <w:pPr>
        <w:spacing w:line="550" w:lineRule="exact"/>
        <w:ind w:left="105" w:leftChars="50" w:firstLine="360" w:firstLineChars="150"/>
        <w:jc w:val="center"/>
        <w:rPr>
          <w:sz w:val="24"/>
          <w:szCs w:val="24"/>
        </w:rPr>
      </w:pPr>
      <w:r>
        <w:rPr>
          <w:sz w:val="24"/>
          <w:szCs w:val="24"/>
        </w:rPr>
        <w:t>图2：支出决算图</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四、财政拨款收入支出决算总体情况说明</w:t>
      </w:r>
    </w:p>
    <w:p>
      <w:pPr>
        <w:spacing w:line="550" w:lineRule="exact"/>
        <w:ind w:firstLine="480" w:firstLineChars="200"/>
        <w:rPr>
          <w:sz w:val="24"/>
          <w:szCs w:val="24"/>
        </w:rPr>
      </w:pPr>
      <w:r>
        <w:rPr>
          <w:rFonts w:hint="eastAsia"/>
          <w:sz w:val="24"/>
          <w:szCs w:val="24"/>
          <w:u w:val="single"/>
        </w:rPr>
        <w:t>江苏传媒学校</w:t>
      </w:r>
      <w:r>
        <w:rPr>
          <w:sz w:val="24"/>
          <w:szCs w:val="24"/>
        </w:rPr>
        <w:t>2018年度财政拨款收、支总决算</w:t>
      </w:r>
      <w:r>
        <w:rPr>
          <w:rFonts w:hint="eastAsia"/>
          <w:sz w:val="24"/>
          <w:szCs w:val="24"/>
          <w:u w:val="single"/>
        </w:rPr>
        <w:t>1685.33</w:t>
      </w:r>
      <w:r>
        <w:rPr>
          <w:sz w:val="24"/>
          <w:szCs w:val="24"/>
        </w:rPr>
        <w:t>万元。与上年相比，财政拨款收、支总计各增加</w:t>
      </w:r>
      <w:r>
        <w:rPr>
          <w:rFonts w:hint="eastAsia"/>
          <w:sz w:val="24"/>
          <w:szCs w:val="24"/>
        </w:rPr>
        <w:t>138.17</w:t>
      </w:r>
      <w:r>
        <w:rPr>
          <w:sz w:val="24"/>
          <w:szCs w:val="24"/>
        </w:rPr>
        <w:t>万元，增长</w:t>
      </w:r>
      <w:r>
        <w:rPr>
          <w:rFonts w:hint="eastAsia"/>
          <w:sz w:val="24"/>
          <w:szCs w:val="24"/>
        </w:rPr>
        <w:t>8.93</w:t>
      </w:r>
      <w:r>
        <w:rPr>
          <w:sz w:val="24"/>
          <w:szCs w:val="24"/>
        </w:rPr>
        <w:t>%。主要原因是</w:t>
      </w:r>
      <w:r>
        <w:rPr>
          <w:rFonts w:hint="eastAsia"/>
          <w:sz w:val="24"/>
          <w:szCs w:val="24"/>
        </w:rPr>
        <w:t>2017年项目资金结余</w:t>
      </w:r>
      <w:r>
        <w:rPr>
          <w:sz w:val="24"/>
          <w:szCs w:val="24"/>
        </w:rPr>
        <w:t>。</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五、财政拨款支出决算情况说明</w:t>
      </w:r>
    </w:p>
    <w:p>
      <w:pPr>
        <w:spacing w:line="550" w:lineRule="exact"/>
        <w:ind w:firstLine="480" w:firstLineChars="200"/>
        <w:rPr>
          <w:sz w:val="24"/>
          <w:szCs w:val="24"/>
        </w:rPr>
      </w:pPr>
      <w:r>
        <w:rPr>
          <w:sz w:val="24"/>
          <w:szCs w:val="24"/>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hint="eastAsia"/>
          <w:sz w:val="24"/>
          <w:szCs w:val="24"/>
          <w:u w:val="single"/>
        </w:rPr>
        <w:t>江苏传媒学校</w:t>
      </w:r>
      <w:r>
        <w:rPr>
          <w:sz w:val="24"/>
          <w:szCs w:val="24"/>
        </w:rPr>
        <w:t>2018年财政拨款支出</w:t>
      </w:r>
      <w:r>
        <w:rPr>
          <w:rFonts w:hint="eastAsia"/>
          <w:sz w:val="24"/>
          <w:szCs w:val="24"/>
          <w:u w:val="single"/>
        </w:rPr>
        <w:t>1685.33</w:t>
      </w:r>
      <w:r>
        <w:rPr>
          <w:sz w:val="24"/>
          <w:szCs w:val="24"/>
        </w:rPr>
        <w:t>万元，占本年支出合计的</w:t>
      </w:r>
      <w:r>
        <w:rPr>
          <w:rFonts w:hint="eastAsia"/>
          <w:sz w:val="24"/>
          <w:szCs w:val="24"/>
          <w:u w:val="single"/>
        </w:rPr>
        <w:t>77.2</w:t>
      </w:r>
      <w:r>
        <w:rPr>
          <w:sz w:val="24"/>
          <w:szCs w:val="24"/>
          <w:u w:val="single"/>
        </w:rPr>
        <w:t xml:space="preserve"> </w:t>
      </w:r>
      <w:r>
        <w:rPr>
          <w:sz w:val="24"/>
          <w:szCs w:val="24"/>
        </w:rPr>
        <w:t>%。与上年相比，财政拨款支出减少</w:t>
      </w:r>
      <w:r>
        <w:rPr>
          <w:rFonts w:hint="eastAsia"/>
          <w:sz w:val="24"/>
          <w:szCs w:val="24"/>
          <w:u w:val="single"/>
        </w:rPr>
        <w:t>211.18</w:t>
      </w:r>
      <w:r>
        <w:rPr>
          <w:sz w:val="24"/>
          <w:szCs w:val="24"/>
        </w:rPr>
        <w:t>万元，减少</w:t>
      </w:r>
      <w:r>
        <w:rPr>
          <w:rFonts w:hint="eastAsia"/>
          <w:sz w:val="24"/>
          <w:szCs w:val="24"/>
          <w:u w:val="single"/>
        </w:rPr>
        <w:t>11.14</w:t>
      </w:r>
      <w:r>
        <w:rPr>
          <w:sz w:val="24"/>
          <w:szCs w:val="24"/>
          <w:u w:val="single"/>
        </w:rPr>
        <w:t xml:space="preserve"> </w:t>
      </w:r>
      <w:r>
        <w:rPr>
          <w:sz w:val="24"/>
          <w:szCs w:val="24"/>
        </w:rPr>
        <w:t>%。主要原因是</w:t>
      </w:r>
      <w:r>
        <w:rPr>
          <w:rFonts w:hint="eastAsia"/>
          <w:sz w:val="24"/>
          <w:szCs w:val="24"/>
        </w:rPr>
        <w:t>中职提升专项经费减少</w:t>
      </w:r>
      <w:r>
        <w:rPr>
          <w:sz w:val="24"/>
          <w:szCs w:val="24"/>
        </w:rPr>
        <w:t>。</w:t>
      </w:r>
    </w:p>
    <w:p>
      <w:pPr>
        <w:spacing w:line="550" w:lineRule="exact"/>
        <w:ind w:firstLine="480" w:firstLineChars="200"/>
        <w:rPr>
          <w:sz w:val="24"/>
          <w:szCs w:val="24"/>
        </w:rPr>
      </w:pPr>
      <w:r>
        <w:rPr>
          <w:rFonts w:hint="eastAsia"/>
          <w:sz w:val="24"/>
          <w:szCs w:val="24"/>
          <w:u w:val="single"/>
        </w:rPr>
        <w:t>江苏传媒学校</w:t>
      </w:r>
      <w:r>
        <w:rPr>
          <w:sz w:val="24"/>
          <w:szCs w:val="24"/>
        </w:rPr>
        <w:t>2018年度财政拨款支出年初预算为</w:t>
      </w:r>
      <w:r>
        <w:rPr>
          <w:rFonts w:hint="eastAsia"/>
          <w:sz w:val="24"/>
          <w:szCs w:val="24"/>
          <w:u w:val="single"/>
        </w:rPr>
        <w:t>1616.8</w:t>
      </w:r>
      <w:r>
        <w:rPr>
          <w:sz w:val="24"/>
          <w:szCs w:val="24"/>
        </w:rPr>
        <w:t>万元，支出决算为</w:t>
      </w:r>
      <w:r>
        <w:rPr>
          <w:rFonts w:hint="eastAsia"/>
          <w:sz w:val="24"/>
          <w:szCs w:val="24"/>
          <w:u w:val="single"/>
        </w:rPr>
        <w:t>1685.33</w:t>
      </w:r>
      <w:r>
        <w:rPr>
          <w:sz w:val="24"/>
          <w:szCs w:val="24"/>
        </w:rPr>
        <w:t>万元，完成年初预算的</w:t>
      </w:r>
      <w:r>
        <w:rPr>
          <w:rFonts w:hint="eastAsia"/>
          <w:sz w:val="24"/>
          <w:szCs w:val="24"/>
          <w:u w:val="single"/>
        </w:rPr>
        <w:t>104.24</w:t>
      </w:r>
      <w:r>
        <w:rPr>
          <w:sz w:val="24"/>
          <w:szCs w:val="24"/>
        </w:rPr>
        <w:t>%。决算数大于年初预算的主要原因是</w:t>
      </w:r>
      <w:r>
        <w:rPr>
          <w:rFonts w:hint="eastAsia"/>
          <w:sz w:val="24"/>
          <w:szCs w:val="24"/>
        </w:rPr>
        <w:t>项目预算的增加</w:t>
      </w:r>
      <w:r>
        <w:rPr>
          <w:sz w:val="24"/>
          <w:szCs w:val="24"/>
        </w:rPr>
        <w:t>。</w:t>
      </w:r>
    </w:p>
    <w:p>
      <w:pPr>
        <w:spacing w:line="550" w:lineRule="exact"/>
        <w:ind w:firstLine="480" w:firstLineChars="200"/>
        <w:rPr>
          <w:rFonts w:eastAsia="方正楷体_GBK"/>
          <w:sz w:val="24"/>
          <w:szCs w:val="24"/>
        </w:rPr>
      </w:pPr>
      <w:r>
        <w:rPr>
          <w:rFonts w:eastAsia="方正楷体_GBK"/>
          <w:sz w:val="24"/>
          <w:szCs w:val="24"/>
        </w:rPr>
        <w:t>（一）一般公共服务（类）</w:t>
      </w:r>
    </w:p>
    <w:p>
      <w:pPr>
        <w:spacing w:line="550" w:lineRule="exact"/>
        <w:ind w:firstLine="480" w:firstLineChars="200"/>
        <w:rPr>
          <w:sz w:val="24"/>
          <w:szCs w:val="24"/>
        </w:rPr>
      </w:pPr>
      <w:r>
        <w:rPr>
          <w:sz w:val="24"/>
          <w:szCs w:val="24"/>
        </w:rPr>
        <w:t>1</w:t>
      </w:r>
      <w:r>
        <w:rPr>
          <w:rFonts w:hint="eastAsia"/>
          <w:sz w:val="24"/>
          <w:szCs w:val="24"/>
        </w:rPr>
        <w:t>．教育</w:t>
      </w:r>
      <w:r>
        <w:rPr>
          <w:sz w:val="24"/>
          <w:szCs w:val="24"/>
        </w:rPr>
        <w:t>（款）。年初预算为</w:t>
      </w:r>
      <w:r>
        <w:rPr>
          <w:rFonts w:hint="eastAsia"/>
          <w:sz w:val="24"/>
          <w:szCs w:val="24"/>
          <w:u w:val="single"/>
        </w:rPr>
        <w:t>1413.05</w:t>
      </w:r>
      <w:r>
        <w:rPr>
          <w:sz w:val="24"/>
          <w:szCs w:val="24"/>
        </w:rPr>
        <w:t>万元，支出决算为</w:t>
      </w:r>
      <w:r>
        <w:rPr>
          <w:rFonts w:hint="eastAsia"/>
          <w:sz w:val="24"/>
          <w:szCs w:val="24"/>
          <w:u w:val="single"/>
        </w:rPr>
        <w:t>1471.95</w:t>
      </w:r>
      <w:r>
        <w:rPr>
          <w:sz w:val="24"/>
          <w:szCs w:val="24"/>
        </w:rPr>
        <w:t>万元，完成年初预算的</w:t>
      </w:r>
      <w:r>
        <w:rPr>
          <w:rFonts w:hint="eastAsia"/>
          <w:sz w:val="24"/>
          <w:szCs w:val="24"/>
          <w:u w:val="single"/>
        </w:rPr>
        <w:t>104.17</w:t>
      </w:r>
      <w:r>
        <w:rPr>
          <w:sz w:val="24"/>
          <w:szCs w:val="24"/>
        </w:rPr>
        <w:t>%。决算数大于预算数的主要原因</w:t>
      </w:r>
      <w:r>
        <w:rPr>
          <w:rFonts w:hint="eastAsia"/>
          <w:sz w:val="24"/>
          <w:szCs w:val="24"/>
        </w:rPr>
        <w:t>项目预算增加</w:t>
      </w:r>
      <w:r>
        <w:rPr>
          <w:sz w:val="24"/>
          <w:szCs w:val="24"/>
        </w:rPr>
        <w:t>。</w:t>
      </w:r>
    </w:p>
    <w:p>
      <w:pPr>
        <w:spacing w:line="550" w:lineRule="exact"/>
        <w:ind w:firstLine="480" w:firstLineChars="200"/>
        <w:rPr>
          <w:sz w:val="24"/>
          <w:szCs w:val="24"/>
        </w:rPr>
      </w:pPr>
      <w:r>
        <w:rPr>
          <w:sz w:val="24"/>
          <w:szCs w:val="24"/>
        </w:rPr>
        <w:t>2</w:t>
      </w:r>
      <w:r>
        <w:rPr>
          <w:rFonts w:hint="eastAsia"/>
          <w:sz w:val="24"/>
          <w:szCs w:val="24"/>
        </w:rPr>
        <w:t>．社会保障和就业</w:t>
      </w:r>
      <w:r>
        <w:rPr>
          <w:sz w:val="24"/>
          <w:szCs w:val="24"/>
        </w:rPr>
        <w:t>（款）。年初预算为</w:t>
      </w:r>
      <w:r>
        <w:rPr>
          <w:rFonts w:hint="eastAsia"/>
          <w:sz w:val="24"/>
          <w:szCs w:val="24"/>
          <w:u w:val="single"/>
        </w:rPr>
        <w:t>137.09</w:t>
      </w:r>
      <w:r>
        <w:rPr>
          <w:sz w:val="24"/>
          <w:szCs w:val="24"/>
        </w:rPr>
        <w:t>万元，支出决算为</w:t>
      </w:r>
      <w:r>
        <w:rPr>
          <w:rFonts w:hint="eastAsia"/>
          <w:sz w:val="24"/>
          <w:szCs w:val="24"/>
          <w:u w:val="single"/>
        </w:rPr>
        <w:t>264.88</w:t>
      </w:r>
      <w:r>
        <w:rPr>
          <w:sz w:val="24"/>
          <w:szCs w:val="24"/>
        </w:rPr>
        <w:t>万元，完成年初预算的</w:t>
      </w:r>
      <w:r>
        <w:rPr>
          <w:rFonts w:hint="eastAsia"/>
          <w:sz w:val="24"/>
          <w:szCs w:val="24"/>
          <w:u w:val="single"/>
        </w:rPr>
        <w:t>193.22</w:t>
      </w:r>
      <w:r>
        <w:rPr>
          <w:sz w:val="24"/>
          <w:szCs w:val="24"/>
        </w:rPr>
        <w:t>%。决算数大于预算数的主要原因</w:t>
      </w:r>
      <w:r>
        <w:rPr>
          <w:rFonts w:hint="eastAsia"/>
          <w:sz w:val="24"/>
          <w:szCs w:val="24"/>
        </w:rPr>
        <w:t>补缴了2014-2017年的养老保险</w:t>
      </w:r>
      <w:r>
        <w:rPr>
          <w:sz w:val="24"/>
          <w:szCs w:val="24"/>
        </w:rPr>
        <w:t>。</w:t>
      </w:r>
    </w:p>
    <w:p>
      <w:pPr>
        <w:spacing w:line="550" w:lineRule="exact"/>
        <w:ind w:firstLine="480" w:firstLineChars="200"/>
        <w:rPr>
          <w:sz w:val="24"/>
          <w:szCs w:val="24"/>
        </w:rPr>
      </w:pPr>
      <w:r>
        <w:rPr>
          <w:rFonts w:hint="eastAsia"/>
          <w:sz w:val="24"/>
          <w:szCs w:val="24"/>
        </w:rPr>
        <w:t>3．住房保障</w:t>
      </w:r>
      <w:r>
        <w:rPr>
          <w:sz w:val="24"/>
          <w:szCs w:val="24"/>
        </w:rPr>
        <w:t>（款）。年初预算为</w:t>
      </w:r>
      <w:r>
        <w:rPr>
          <w:rFonts w:hint="eastAsia"/>
          <w:sz w:val="24"/>
          <w:szCs w:val="24"/>
          <w:u w:val="single"/>
        </w:rPr>
        <w:t>66.66</w:t>
      </w:r>
      <w:r>
        <w:rPr>
          <w:sz w:val="24"/>
          <w:szCs w:val="24"/>
        </w:rPr>
        <w:t>万元，支出决算为</w:t>
      </w:r>
      <w:r>
        <w:rPr>
          <w:rFonts w:hint="eastAsia"/>
          <w:sz w:val="24"/>
          <w:szCs w:val="24"/>
          <w:u w:val="single"/>
        </w:rPr>
        <w:t>76.29</w:t>
      </w:r>
      <w:r>
        <w:rPr>
          <w:sz w:val="24"/>
          <w:szCs w:val="24"/>
        </w:rPr>
        <w:t>万元，完成年初预算的</w:t>
      </w:r>
      <w:r>
        <w:rPr>
          <w:rFonts w:hint="eastAsia"/>
          <w:sz w:val="24"/>
          <w:szCs w:val="24"/>
          <w:u w:val="single"/>
        </w:rPr>
        <w:t>114.45</w:t>
      </w:r>
      <w:r>
        <w:rPr>
          <w:sz w:val="24"/>
          <w:szCs w:val="24"/>
          <w:u w:val="single"/>
        </w:rPr>
        <w:t xml:space="preserve"> </w:t>
      </w:r>
      <w:r>
        <w:rPr>
          <w:sz w:val="24"/>
          <w:szCs w:val="24"/>
        </w:rPr>
        <w:t>%。决算数大于预算数的主要原因</w:t>
      </w:r>
      <w:r>
        <w:rPr>
          <w:rFonts w:hint="eastAsia"/>
          <w:sz w:val="24"/>
          <w:szCs w:val="24"/>
        </w:rPr>
        <w:t>住房补贴增加</w:t>
      </w:r>
      <w:r>
        <w:rPr>
          <w:sz w:val="24"/>
          <w:szCs w:val="24"/>
        </w:rPr>
        <w:t>。</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六、财政拨款基本支出决算情况说明</w:t>
      </w:r>
    </w:p>
    <w:p>
      <w:pPr>
        <w:spacing w:line="550" w:lineRule="exact"/>
        <w:ind w:firstLine="480" w:firstLineChars="200"/>
        <w:rPr>
          <w:sz w:val="24"/>
          <w:szCs w:val="24"/>
        </w:rPr>
      </w:pPr>
      <w:r>
        <w:rPr>
          <w:rFonts w:hint="eastAsia"/>
          <w:sz w:val="24"/>
          <w:szCs w:val="24"/>
          <w:u w:val="single"/>
        </w:rPr>
        <w:t>江苏传媒学校</w:t>
      </w:r>
      <w:r>
        <w:rPr>
          <w:sz w:val="24"/>
          <w:szCs w:val="24"/>
        </w:rPr>
        <w:t>2018年度财政拨款基本支出</w:t>
      </w:r>
      <w:r>
        <w:rPr>
          <w:rFonts w:hint="eastAsia"/>
          <w:sz w:val="24"/>
          <w:szCs w:val="24"/>
          <w:u w:val="single"/>
        </w:rPr>
        <w:t>1546.66</w:t>
      </w:r>
      <w:r>
        <w:rPr>
          <w:sz w:val="24"/>
          <w:szCs w:val="24"/>
        </w:rPr>
        <w:t>万元，其中：</w:t>
      </w:r>
    </w:p>
    <w:p>
      <w:pPr>
        <w:spacing w:line="550" w:lineRule="exact"/>
        <w:ind w:firstLine="480" w:firstLineChars="200"/>
        <w:rPr>
          <w:sz w:val="24"/>
          <w:szCs w:val="24"/>
        </w:rPr>
      </w:pPr>
      <w:r>
        <w:rPr>
          <w:rFonts w:eastAsia="方正楷体_GBK"/>
          <w:sz w:val="24"/>
          <w:szCs w:val="24"/>
        </w:rPr>
        <w:t>（一）人员经费</w:t>
      </w:r>
      <w:r>
        <w:rPr>
          <w:rFonts w:hint="eastAsia" w:eastAsia="方正楷体_GBK"/>
          <w:sz w:val="24"/>
          <w:szCs w:val="24"/>
          <w:u w:val="single"/>
        </w:rPr>
        <w:t>1245.21</w:t>
      </w:r>
      <w:r>
        <w:rPr>
          <w:rFonts w:eastAsia="方正楷体_GBK"/>
          <w:sz w:val="24"/>
          <w:szCs w:val="24"/>
        </w:rPr>
        <w:t>万元。</w:t>
      </w:r>
      <w:r>
        <w:rPr>
          <w:sz w:val="24"/>
          <w:szCs w:val="24"/>
        </w:rPr>
        <w:t>主要包括：基本工资、津贴补贴、奖金、社会保障缴费、伙食补助费、绩效工资、其他工资福利支出、离休费、退休费、抚恤金、生活补助、医疗费、奖励金、住房公积金、提租补贴、……、其他对个人和家庭的补助支出。</w:t>
      </w:r>
      <w:r>
        <w:rPr>
          <w:i/>
          <w:sz w:val="24"/>
          <w:szCs w:val="24"/>
        </w:rPr>
        <w:t>（按“公开06表 财政拨款基本支出决算表”中实际发生经济分类支出事项填写）</w:t>
      </w:r>
    </w:p>
    <w:p>
      <w:pPr>
        <w:spacing w:line="550" w:lineRule="exact"/>
        <w:ind w:firstLine="480" w:firstLineChars="200"/>
        <w:rPr>
          <w:i/>
          <w:sz w:val="24"/>
          <w:szCs w:val="24"/>
        </w:rPr>
      </w:pPr>
      <w:r>
        <w:rPr>
          <w:rFonts w:eastAsia="方正楷体_GBK"/>
          <w:sz w:val="24"/>
          <w:szCs w:val="24"/>
        </w:rPr>
        <w:t>（二）公用经费</w:t>
      </w:r>
      <w:r>
        <w:rPr>
          <w:rFonts w:hint="eastAsia" w:eastAsia="方正楷体_GBK"/>
          <w:sz w:val="24"/>
          <w:szCs w:val="24"/>
          <w:u w:val="single"/>
        </w:rPr>
        <w:t>301.45</w:t>
      </w:r>
      <w:r>
        <w:rPr>
          <w:rFonts w:eastAsia="方正楷体_GBK"/>
          <w:sz w:val="24"/>
          <w:szCs w:val="24"/>
        </w:rPr>
        <w:t>万元。</w:t>
      </w:r>
      <w:r>
        <w:rPr>
          <w:sz w:val="24"/>
          <w:szCs w:val="24"/>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Pr>
          <w:i/>
          <w:sz w:val="24"/>
          <w:szCs w:val="24"/>
        </w:rPr>
        <w:t>（按“公开06表 财政拨款基本支出决算表”中实际发生经济分类支出事项填写）</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七、一般公共预算财政拨款支出决算情况说明</w:t>
      </w:r>
    </w:p>
    <w:p>
      <w:pPr>
        <w:spacing w:line="550" w:lineRule="exact"/>
        <w:ind w:firstLine="480" w:firstLineChars="200"/>
        <w:rPr>
          <w:sz w:val="24"/>
          <w:szCs w:val="24"/>
        </w:rPr>
      </w:pPr>
      <w:r>
        <w:rPr>
          <w:sz w:val="24"/>
          <w:szCs w:val="24"/>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hint="eastAsia"/>
          <w:sz w:val="24"/>
          <w:szCs w:val="24"/>
          <w:u w:val="single"/>
        </w:rPr>
        <w:t>江苏传媒学校</w:t>
      </w:r>
      <w:r>
        <w:rPr>
          <w:sz w:val="24"/>
          <w:szCs w:val="24"/>
        </w:rPr>
        <w:t>2018年一般公共预算财政拨款支出</w:t>
      </w:r>
      <w:r>
        <w:rPr>
          <w:rFonts w:hint="eastAsia"/>
          <w:sz w:val="24"/>
          <w:szCs w:val="24"/>
          <w:u w:val="single"/>
        </w:rPr>
        <w:t>1685.33</w:t>
      </w:r>
      <w:r>
        <w:rPr>
          <w:sz w:val="24"/>
          <w:szCs w:val="24"/>
        </w:rPr>
        <w:t>万元，与上年相比减少</w:t>
      </w:r>
      <w:r>
        <w:rPr>
          <w:rFonts w:hint="eastAsia"/>
          <w:sz w:val="24"/>
          <w:szCs w:val="24"/>
          <w:u w:val="single"/>
        </w:rPr>
        <w:t>211.18</w:t>
      </w:r>
      <w:r>
        <w:rPr>
          <w:sz w:val="24"/>
          <w:szCs w:val="24"/>
        </w:rPr>
        <w:t>万元，减少</w:t>
      </w:r>
      <w:r>
        <w:rPr>
          <w:rFonts w:hint="eastAsia"/>
          <w:sz w:val="24"/>
          <w:szCs w:val="24"/>
          <w:u w:val="single"/>
        </w:rPr>
        <w:t>11.14</w:t>
      </w:r>
      <w:r>
        <w:rPr>
          <w:sz w:val="24"/>
          <w:szCs w:val="24"/>
        </w:rPr>
        <w:t>%。主要原因是</w:t>
      </w:r>
      <w:r>
        <w:rPr>
          <w:rFonts w:hint="eastAsia"/>
          <w:sz w:val="24"/>
          <w:szCs w:val="24"/>
        </w:rPr>
        <w:t>中职提升经费拨款数的减少</w:t>
      </w:r>
      <w:r>
        <w:rPr>
          <w:sz w:val="24"/>
          <w:szCs w:val="24"/>
        </w:rPr>
        <w:t>。</w:t>
      </w:r>
      <w:r>
        <w:rPr>
          <w:rFonts w:hint="eastAsia"/>
          <w:sz w:val="24"/>
          <w:szCs w:val="24"/>
          <w:u w:val="single"/>
        </w:rPr>
        <w:t>江苏传媒学校</w:t>
      </w:r>
      <w:r>
        <w:rPr>
          <w:sz w:val="24"/>
          <w:szCs w:val="24"/>
        </w:rPr>
        <w:t>2018年度一般公共预算财政拨款支出年初预算为</w:t>
      </w:r>
      <w:r>
        <w:rPr>
          <w:rFonts w:hint="eastAsia"/>
          <w:sz w:val="24"/>
          <w:szCs w:val="24"/>
          <w:u w:val="single"/>
        </w:rPr>
        <w:t>1616.8</w:t>
      </w:r>
      <w:r>
        <w:rPr>
          <w:sz w:val="24"/>
          <w:szCs w:val="24"/>
          <w:u w:val="single"/>
        </w:rPr>
        <w:t xml:space="preserve"> </w:t>
      </w:r>
      <w:r>
        <w:rPr>
          <w:sz w:val="24"/>
          <w:szCs w:val="24"/>
        </w:rPr>
        <w:t>万元，支出决算为</w:t>
      </w:r>
      <w:r>
        <w:rPr>
          <w:rFonts w:hint="eastAsia"/>
          <w:sz w:val="24"/>
          <w:szCs w:val="24"/>
          <w:u w:val="single"/>
        </w:rPr>
        <w:t>1685.33</w:t>
      </w:r>
      <w:r>
        <w:rPr>
          <w:sz w:val="24"/>
          <w:szCs w:val="24"/>
        </w:rPr>
        <w:t>万元，完成年初预算的</w:t>
      </w:r>
      <w:r>
        <w:rPr>
          <w:rFonts w:hint="eastAsia"/>
          <w:sz w:val="24"/>
          <w:szCs w:val="24"/>
          <w:u w:val="single"/>
        </w:rPr>
        <w:t>104.24</w:t>
      </w:r>
      <w:r>
        <w:rPr>
          <w:sz w:val="24"/>
          <w:szCs w:val="24"/>
          <w:u w:val="single"/>
        </w:rPr>
        <w:t xml:space="preserve"> </w:t>
      </w:r>
      <w:r>
        <w:rPr>
          <w:sz w:val="24"/>
          <w:szCs w:val="24"/>
        </w:rPr>
        <w:t>%。决算数大于年初预算的主要原因是</w:t>
      </w:r>
      <w:r>
        <w:rPr>
          <w:rFonts w:hint="eastAsia"/>
          <w:sz w:val="24"/>
          <w:szCs w:val="24"/>
        </w:rPr>
        <w:t>项目预算支出的增加</w:t>
      </w:r>
      <w:r>
        <w:rPr>
          <w:sz w:val="24"/>
          <w:szCs w:val="24"/>
        </w:rPr>
        <w:t>。</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八、一般公共预算财政拨款基本支出决算情况说明</w:t>
      </w:r>
    </w:p>
    <w:p>
      <w:pPr>
        <w:spacing w:line="550" w:lineRule="exact"/>
        <w:ind w:firstLine="480" w:firstLineChars="200"/>
        <w:rPr>
          <w:sz w:val="24"/>
          <w:szCs w:val="24"/>
        </w:rPr>
      </w:pPr>
      <w:r>
        <w:rPr>
          <w:rFonts w:hint="eastAsia"/>
          <w:sz w:val="24"/>
          <w:szCs w:val="24"/>
          <w:u w:val="single"/>
        </w:rPr>
        <w:t>江苏传媒学校</w:t>
      </w:r>
      <w:r>
        <w:rPr>
          <w:sz w:val="24"/>
          <w:szCs w:val="24"/>
        </w:rPr>
        <w:t>2018年度一般公共预算财政拨款基本支出</w:t>
      </w:r>
      <w:r>
        <w:rPr>
          <w:rFonts w:hint="eastAsia"/>
          <w:sz w:val="24"/>
          <w:szCs w:val="24"/>
          <w:u w:val="single"/>
        </w:rPr>
        <w:t>1546.66</w:t>
      </w:r>
      <w:r>
        <w:rPr>
          <w:sz w:val="24"/>
          <w:szCs w:val="24"/>
        </w:rPr>
        <w:t>万元，其中：</w:t>
      </w:r>
    </w:p>
    <w:p>
      <w:pPr>
        <w:spacing w:line="550" w:lineRule="exact"/>
        <w:ind w:firstLine="480" w:firstLineChars="200"/>
        <w:rPr>
          <w:sz w:val="24"/>
          <w:szCs w:val="24"/>
        </w:rPr>
      </w:pPr>
      <w:r>
        <w:rPr>
          <w:rFonts w:eastAsia="方正楷体_GBK"/>
          <w:sz w:val="24"/>
          <w:szCs w:val="24"/>
        </w:rPr>
        <w:t>（一）人员经费</w:t>
      </w:r>
      <w:r>
        <w:rPr>
          <w:rFonts w:hint="eastAsia" w:eastAsia="方正楷体_GBK"/>
          <w:sz w:val="24"/>
          <w:szCs w:val="24"/>
          <w:u w:val="single"/>
        </w:rPr>
        <w:t>1245.21</w:t>
      </w:r>
      <w:r>
        <w:rPr>
          <w:rFonts w:eastAsia="方正楷体_GBK"/>
          <w:sz w:val="24"/>
          <w:szCs w:val="24"/>
        </w:rPr>
        <w:t>万元。</w:t>
      </w:r>
      <w:r>
        <w:rPr>
          <w:sz w:val="24"/>
          <w:szCs w:val="24"/>
        </w:rPr>
        <w:t>主要包括：基本工资、津贴补贴、奖金、社会保障缴费、伙食补助费、绩效工资、其他工资福利支出、离休费、退休费、抚恤金、生活补助、医疗费、奖励金、住房公积金、提租补贴、……、其他对个人和家庭的补助支出。</w:t>
      </w:r>
      <w:r>
        <w:rPr>
          <w:i/>
          <w:sz w:val="24"/>
          <w:szCs w:val="24"/>
        </w:rPr>
        <w:t>（按“公开08表 一般公共预算财政拨款基本支出决算表”中实际发生经济分类支出事项填写）</w:t>
      </w:r>
    </w:p>
    <w:p>
      <w:pPr>
        <w:spacing w:line="550" w:lineRule="exact"/>
        <w:ind w:firstLine="480" w:firstLineChars="200"/>
        <w:rPr>
          <w:sz w:val="24"/>
          <w:szCs w:val="24"/>
        </w:rPr>
      </w:pPr>
      <w:r>
        <w:rPr>
          <w:rFonts w:eastAsia="方正楷体_GBK"/>
          <w:sz w:val="24"/>
          <w:szCs w:val="24"/>
        </w:rPr>
        <w:t>（二）公用经费</w:t>
      </w:r>
      <w:r>
        <w:rPr>
          <w:rFonts w:hint="eastAsia" w:eastAsia="方正楷体_GBK"/>
          <w:sz w:val="24"/>
          <w:szCs w:val="24"/>
          <w:u w:val="single"/>
        </w:rPr>
        <w:t>301.45</w:t>
      </w:r>
      <w:r>
        <w:rPr>
          <w:rFonts w:eastAsia="方正楷体_GBK"/>
          <w:sz w:val="24"/>
          <w:szCs w:val="24"/>
        </w:rPr>
        <w:t>万元。</w:t>
      </w:r>
      <w:r>
        <w:rPr>
          <w:sz w:val="24"/>
          <w:szCs w:val="24"/>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Pr>
          <w:i/>
          <w:sz w:val="24"/>
          <w:szCs w:val="24"/>
        </w:rPr>
        <w:t>（按“公开08表 一般公共预算财政拨款基本支出决算表”中实际发生经济分类支出事项填写）</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九、一般公共预算财政拨款“三公”经费、会议费、培训费支出情况说明</w:t>
      </w:r>
    </w:p>
    <w:p>
      <w:pPr>
        <w:spacing w:line="550" w:lineRule="exact"/>
        <w:ind w:firstLine="480" w:firstLineChars="200"/>
        <w:rPr>
          <w:sz w:val="24"/>
          <w:szCs w:val="24"/>
        </w:rPr>
      </w:pPr>
      <w:r>
        <w:rPr>
          <w:rFonts w:hint="eastAsia"/>
          <w:sz w:val="24"/>
          <w:szCs w:val="24"/>
          <w:u w:val="single"/>
        </w:rPr>
        <w:t>江苏传媒学校</w:t>
      </w:r>
      <w:r>
        <w:rPr>
          <w:sz w:val="24"/>
          <w:szCs w:val="24"/>
        </w:rPr>
        <w:t>2018 年度一般公共预算拨款安排的“三公”经费决算支出中，因公出国（境）费支出</w:t>
      </w:r>
      <w:r>
        <w:rPr>
          <w:sz w:val="24"/>
          <w:szCs w:val="24"/>
          <w:u w:val="single"/>
        </w:rPr>
        <w:t xml:space="preserve"> </w:t>
      </w:r>
      <w:r>
        <w:rPr>
          <w:rFonts w:hint="eastAsia"/>
          <w:sz w:val="24"/>
          <w:szCs w:val="24"/>
          <w:u w:val="single"/>
        </w:rPr>
        <w:t>0</w:t>
      </w:r>
      <w:r>
        <w:rPr>
          <w:sz w:val="24"/>
          <w:szCs w:val="24"/>
        </w:rPr>
        <w:t>万元；公务用车购置及运行费支出</w:t>
      </w:r>
      <w:r>
        <w:rPr>
          <w:rFonts w:hint="eastAsia"/>
          <w:sz w:val="24"/>
          <w:szCs w:val="24"/>
          <w:u w:val="single"/>
        </w:rPr>
        <w:t>0.97</w:t>
      </w:r>
      <w:r>
        <w:rPr>
          <w:sz w:val="24"/>
          <w:szCs w:val="24"/>
        </w:rPr>
        <w:t>万元，占“三公”经费的</w:t>
      </w:r>
      <w:r>
        <w:rPr>
          <w:rFonts w:hint="eastAsia"/>
          <w:sz w:val="24"/>
          <w:szCs w:val="24"/>
          <w:u w:val="single"/>
        </w:rPr>
        <w:t>100</w:t>
      </w:r>
      <w:r>
        <w:rPr>
          <w:sz w:val="24"/>
          <w:szCs w:val="24"/>
          <w:u w:val="single"/>
        </w:rPr>
        <w:t xml:space="preserve"> </w:t>
      </w:r>
      <w:r>
        <w:rPr>
          <w:sz w:val="24"/>
          <w:szCs w:val="24"/>
        </w:rPr>
        <w:t>%；公务接待费支出</w:t>
      </w:r>
      <w:r>
        <w:rPr>
          <w:sz w:val="24"/>
          <w:szCs w:val="24"/>
          <w:u w:val="single"/>
        </w:rPr>
        <w:t xml:space="preserve"> </w:t>
      </w:r>
      <w:r>
        <w:rPr>
          <w:rFonts w:hint="eastAsia"/>
          <w:sz w:val="24"/>
          <w:szCs w:val="24"/>
          <w:u w:val="single"/>
        </w:rPr>
        <w:t>0</w:t>
      </w:r>
      <w:r>
        <w:rPr>
          <w:sz w:val="24"/>
          <w:szCs w:val="24"/>
          <w:u w:val="single"/>
        </w:rPr>
        <w:t xml:space="preserve"> </w:t>
      </w:r>
      <w:r>
        <w:rPr>
          <w:sz w:val="24"/>
          <w:szCs w:val="24"/>
        </w:rPr>
        <w:t>万元。具体情况如下：</w:t>
      </w:r>
    </w:p>
    <w:p>
      <w:pPr>
        <w:spacing w:line="550" w:lineRule="exact"/>
        <w:ind w:firstLine="480" w:firstLineChars="200"/>
        <w:rPr>
          <w:sz w:val="24"/>
          <w:szCs w:val="24"/>
        </w:rPr>
      </w:pPr>
      <w:r>
        <w:rPr>
          <w:sz w:val="24"/>
          <w:szCs w:val="24"/>
        </w:rPr>
        <w:t>1．因公出国（境）费决算支出</w:t>
      </w:r>
      <w:r>
        <w:rPr>
          <w:rFonts w:hint="eastAsia"/>
          <w:sz w:val="24"/>
          <w:szCs w:val="24"/>
          <w:u w:val="single"/>
        </w:rPr>
        <w:t>0</w:t>
      </w:r>
      <w:r>
        <w:rPr>
          <w:sz w:val="24"/>
          <w:szCs w:val="24"/>
        </w:rPr>
        <w:t>万元。</w:t>
      </w:r>
    </w:p>
    <w:p>
      <w:pPr>
        <w:spacing w:line="550" w:lineRule="exact"/>
        <w:ind w:firstLine="480" w:firstLineChars="200"/>
        <w:rPr>
          <w:sz w:val="24"/>
          <w:szCs w:val="24"/>
        </w:rPr>
      </w:pPr>
      <w:r>
        <w:rPr>
          <w:sz w:val="24"/>
          <w:szCs w:val="24"/>
        </w:rPr>
        <w:t>2．公务用车购置及运行费支出</w:t>
      </w:r>
      <w:r>
        <w:rPr>
          <w:rFonts w:hint="eastAsia"/>
          <w:sz w:val="24"/>
          <w:szCs w:val="24"/>
          <w:u w:val="single"/>
        </w:rPr>
        <w:t>0.97</w:t>
      </w:r>
      <w:r>
        <w:rPr>
          <w:sz w:val="24"/>
          <w:szCs w:val="24"/>
        </w:rPr>
        <w:t>万元。其中：</w:t>
      </w:r>
    </w:p>
    <w:p>
      <w:pPr>
        <w:spacing w:line="550" w:lineRule="exact"/>
        <w:ind w:firstLine="480" w:firstLineChars="200"/>
        <w:rPr>
          <w:sz w:val="24"/>
          <w:szCs w:val="24"/>
        </w:rPr>
      </w:pPr>
      <w:r>
        <w:rPr>
          <w:sz w:val="24"/>
          <w:szCs w:val="24"/>
        </w:rPr>
        <w:t>（1）公务用车购置决算支出</w:t>
      </w:r>
      <w:r>
        <w:rPr>
          <w:rFonts w:hint="eastAsia"/>
          <w:sz w:val="24"/>
          <w:szCs w:val="24"/>
          <w:u w:val="single"/>
        </w:rPr>
        <w:t>0</w:t>
      </w:r>
      <w:r>
        <w:rPr>
          <w:sz w:val="24"/>
          <w:szCs w:val="24"/>
        </w:rPr>
        <w:t>万元。</w:t>
      </w:r>
    </w:p>
    <w:p>
      <w:pPr>
        <w:spacing w:line="550" w:lineRule="exact"/>
        <w:ind w:firstLine="480" w:firstLineChars="200"/>
        <w:rPr>
          <w:sz w:val="24"/>
          <w:szCs w:val="24"/>
        </w:rPr>
      </w:pPr>
      <w:r>
        <w:rPr>
          <w:sz w:val="24"/>
          <w:szCs w:val="24"/>
        </w:rPr>
        <w:t>（2）公务用车运行维护费决算支出</w:t>
      </w:r>
      <w:r>
        <w:rPr>
          <w:sz w:val="24"/>
          <w:szCs w:val="24"/>
          <w:u w:val="single"/>
        </w:rPr>
        <w:t xml:space="preserve"> </w:t>
      </w:r>
      <w:r>
        <w:rPr>
          <w:rFonts w:hint="eastAsia"/>
          <w:sz w:val="24"/>
          <w:szCs w:val="24"/>
          <w:u w:val="single"/>
        </w:rPr>
        <w:t>0.97</w:t>
      </w:r>
      <w:r>
        <w:rPr>
          <w:sz w:val="24"/>
          <w:szCs w:val="24"/>
          <w:u w:val="single"/>
        </w:rPr>
        <w:t xml:space="preserve"> </w:t>
      </w:r>
      <w:r>
        <w:rPr>
          <w:sz w:val="24"/>
          <w:szCs w:val="24"/>
        </w:rPr>
        <w:t>万元，完成预算的</w:t>
      </w:r>
      <w:r>
        <w:rPr>
          <w:rFonts w:hint="eastAsia"/>
          <w:sz w:val="24"/>
          <w:szCs w:val="24"/>
          <w:u w:val="single"/>
        </w:rPr>
        <w:t>9.7</w:t>
      </w:r>
      <w:r>
        <w:rPr>
          <w:sz w:val="24"/>
          <w:szCs w:val="24"/>
          <w:u w:val="single"/>
        </w:rPr>
        <w:t xml:space="preserve"> </w:t>
      </w:r>
      <w:r>
        <w:rPr>
          <w:sz w:val="24"/>
          <w:szCs w:val="24"/>
        </w:rPr>
        <w:t>%，比上年决算减少</w:t>
      </w:r>
      <w:r>
        <w:rPr>
          <w:rFonts w:hint="eastAsia"/>
          <w:sz w:val="24"/>
          <w:szCs w:val="24"/>
        </w:rPr>
        <w:t>0.4</w:t>
      </w:r>
      <w:r>
        <w:rPr>
          <w:sz w:val="24"/>
          <w:szCs w:val="24"/>
        </w:rPr>
        <w:t>万元，主要原因为</w:t>
      </w:r>
      <w:r>
        <w:rPr>
          <w:rFonts w:hint="eastAsia"/>
          <w:sz w:val="24"/>
          <w:szCs w:val="24"/>
        </w:rPr>
        <w:t>用车量少</w:t>
      </w:r>
      <w:r>
        <w:rPr>
          <w:sz w:val="24"/>
          <w:szCs w:val="24"/>
        </w:rPr>
        <w:t>；决算数小于预算数的主要原因</w:t>
      </w:r>
      <w:r>
        <w:rPr>
          <w:rFonts w:hint="eastAsia"/>
          <w:sz w:val="24"/>
          <w:szCs w:val="24"/>
        </w:rPr>
        <w:t>单位公车用车量少</w:t>
      </w:r>
      <w:r>
        <w:rPr>
          <w:sz w:val="24"/>
          <w:szCs w:val="24"/>
        </w:rPr>
        <w:t>。公务用车运行维护费主要用于</w:t>
      </w:r>
      <w:r>
        <w:rPr>
          <w:rFonts w:hint="eastAsia"/>
          <w:sz w:val="24"/>
          <w:szCs w:val="24"/>
        </w:rPr>
        <w:t>汽油和过路费支出</w:t>
      </w:r>
      <w:r>
        <w:rPr>
          <w:sz w:val="24"/>
          <w:szCs w:val="24"/>
        </w:rPr>
        <w:t>。2018年使用一般公共预算拨款开支运行维护费的公务用车保有量</w:t>
      </w:r>
      <w:r>
        <w:rPr>
          <w:rFonts w:hint="eastAsia"/>
          <w:sz w:val="24"/>
          <w:szCs w:val="24"/>
          <w:u w:val="single"/>
        </w:rPr>
        <w:t>1</w:t>
      </w:r>
      <w:r>
        <w:rPr>
          <w:sz w:val="24"/>
          <w:szCs w:val="24"/>
        </w:rPr>
        <w:t>辆。</w:t>
      </w:r>
    </w:p>
    <w:p>
      <w:pPr>
        <w:spacing w:line="550" w:lineRule="exact"/>
        <w:ind w:firstLine="480" w:firstLineChars="200"/>
        <w:rPr>
          <w:sz w:val="24"/>
          <w:szCs w:val="24"/>
        </w:rPr>
      </w:pPr>
      <w:r>
        <w:rPr>
          <w:sz w:val="24"/>
          <w:szCs w:val="24"/>
        </w:rPr>
        <w:t>3．公务接待费</w:t>
      </w:r>
      <w:r>
        <w:rPr>
          <w:rFonts w:hint="eastAsia"/>
          <w:sz w:val="24"/>
          <w:szCs w:val="24"/>
          <w:u w:val="single"/>
        </w:rPr>
        <w:t>0</w:t>
      </w:r>
      <w:r>
        <w:rPr>
          <w:sz w:val="24"/>
          <w:szCs w:val="24"/>
        </w:rPr>
        <w:t>万元</w:t>
      </w:r>
      <w:r>
        <w:rPr>
          <w:rFonts w:hint="eastAsia"/>
          <w:sz w:val="24"/>
          <w:szCs w:val="24"/>
        </w:rPr>
        <w:t>，</w:t>
      </w:r>
      <w:r>
        <w:rPr>
          <w:sz w:val="24"/>
          <w:szCs w:val="24"/>
        </w:rPr>
        <w:t>比上年决算减少</w:t>
      </w:r>
      <w:r>
        <w:rPr>
          <w:rFonts w:hint="eastAsia"/>
          <w:sz w:val="24"/>
          <w:szCs w:val="24"/>
          <w:u w:val="single"/>
        </w:rPr>
        <w:t>0.88</w:t>
      </w:r>
      <w:r>
        <w:rPr>
          <w:sz w:val="24"/>
          <w:szCs w:val="24"/>
        </w:rPr>
        <w:t>万元，主要原因为</w:t>
      </w:r>
      <w:r>
        <w:rPr>
          <w:rFonts w:hint="eastAsia"/>
          <w:sz w:val="24"/>
          <w:szCs w:val="24"/>
        </w:rPr>
        <w:t>无接待项目</w:t>
      </w:r>
      <w:r>
        <w:rPr>
          <w:sz w:val="24"/>
          <w:szCs w:val="24"/>
        </w:rPr>
        <w:t>；决算数小于预算数的主要原因</w:t>
      </w:r>
      <w:r>
        <w:rPr>
          <w:rFonts w:hint="eastAsia"/>
          <w:sz w:val="24"/>
          <w:szCs w:val="24"/>
        </w:rPr>
        <w:t>无接待项目</w:t>
      </w:r>
      <w:r>
        <w:rPr>
          <w:sz w:val="24"/>
          <w:szCs w:val="24"/>
        </w:rPr>
        <w:t>。</w:t>
      </w:r>
    </w:p>
    <w:p>
      <w:pPr>
        <w:spacing w:line="550" w:lineRule="exact"/>
        <w:ind w:firstLine="480" w:firstLineChars="200"/>
        <w:rPr>
          <w:sz w:val="24"/>
          <w:szCs w:val="24"/>
        </w:rPr>
      </w:pPr>
      <w:r>
        <w:rPr>
          <w:rFonts w:hint="eastAsia"/>
          <w:sz w:val="24"/>
          <w:szCs w:val="24"/>
          <w:u w:val="single"/>
        </w:rPr>
        <w:t>江苏传媒学校</w:t>
      </w:r>
      <w:r>
        <w:rPr>
          <w:sz w:val="24"/>
          <w:szCs w:val="24"/>
        </w:rPr>
        <w:t>2018年度一般公共预算拨款安排的会议费决算支出</w:t>
      </w:r>
      <w:r>
        <w:rPr>
          <w:rFonts w:hint="eastAsia"/>
          <w:sz w:val="24"/>
          <w:szCs w:val="24"/>
          <w:u w:val="single"/>
        </w:rPr>
        <w:t>0</w:t>
      </w:r>
      <w:r>
        <w:rPr>
          <w:sz w:val="24"/>
          <w:szCs w:val="24"/>
        </w:rPr>
        <w:t>万元。</w:t>
      </w:r>
    </w:p>
    <w:p>
      <w:pPr>
        <w:spacing w:line="550" w:lineRule="exact"/>
        <w:ind w:firstLine="480" w:firstLineChars="200"/>
        <w:rPr>
          <w:sz w:val="24"/>
          <w:szCs w:val="24"/>
        </w:rPr>
      </w:pPr>
      <w:r>
        <w:rPr>
          <w:rFonts w:hint="eastAsia"/>
          <w:sz w:val="24"/>
          <w:szCs w:val="24"/>
          <w:u w:val="single"/>
        </w:rPr>
        <w:t>江苏传媒学校</w:t>
      </w:r>
      <w:r>
        <w:rPr>
          <w:sz w:val="24"/>
          <w:szCs w:val="24"/>
        </w:rPr>
        <w:t>2018年度一般公共预算拨款安排的培训费决算支出</w:t>
      </w:r>
      <w:r>
        <w:rPr>
          <w:sz w:val="24"/>
          <w:szCs w:val="24"/>
          <w:u w:val="single"/>
        </w:rPr>
        <w:t xml:space="preserve"> </w:t>
      </w:r>
      <w:r>
        <w:rPr>
          <w:rFonts w:hint="eastAsia"/>
          <w:sz w:val="24"/>
          <w:szCs w:val="24"/>
          <w:u w:val="single"/>
        </w:rPr>
        <w:t>0.3</w:t>
      </w:r>
      <w:r>
        <w:rPr>
          <w:sz w:val="24"/>
          <w:szCs w:val="24"/>
        </w:rPr>
        <w:t>万元，完成预算的</w:t>
      </w:r>
      <w:r>
        <w:rPr>
          <w:sz w:val="24"/>
          <w:szCs w:val="24"/>
          <w:u w:val="single"/>
        </w:rPr>
        <w:t xml:space="preserve"> </w:t>
      </w:r>
      <w:r>
        <w:rPr>
          <w:rFonts w:hint="eastAsia"/>
          <w:sz w:val="24"/>
          <w:szCs w:val="24"/>
          <w:u w:val="single"/>
        </w:rPr>
        <w:t>3</w:t>
      </w:r>
      <w:r>
        <w:rPr>
          <w:sz w:val="24"/>
          <w:szCs w:val="24"/>
        </w:rPr>
        <w:t>%，比上年决算减少</w:t>
      </w:r>
      <w:r>
        <w:rPr>
          <w:rFonts w:hint="eastAsia"/>
          <w:sz w:val="24"/>
          <w:szCs w:val="24"/>
          <w:u w:val="single"/>
        </w:rPr>
        <w:t>6</w:t>
      </w:r>
      <w:r>
        <w:rPr>
          <w:sz w:val="24"/>
          <w:szCs w:val="24"/>
        </w:rPr>
        <w:t>万元，主要原因为</w:t>
      </w:r>
      <w:r>
        <w:rPr>
          <w:rFonts w:hint="eastAsia"/>
          <w:sz w:val="24"/>
          <w:szCs w:val="24"/>
        </w:rPr>
        <w:t>培训减少</w:t>
      </w:r>
      <w:r>
        <w:rPr>
          <w:sz w:val="24"/>
          <w:szCs w:val="24"/>
        </w:rPr>
        <w:t>；决算数小于预算数的主要原因</w:t>
      </w:r>
      <w:r>
        <w:rPr>
          <w:rFonts w:hint="eastAsia"/>
          <w:sz w:val="24"/>
          <w:szCs w:val="24"/>
        </w:rPr>
        <w:t>经费不足</w:t>
      </w:r>
      <w:r>
        <w:rPr>
          <w:sz w:val="24"/>
          <w:szCs w:val="24"/>
        </w:rPr>
        <w:t>。2018年度全年组织培训</w:t>
      </w:r>
      <w:r>
        <w:rPr>
          <w:sz w:val="24"/>
          <w:szCs w:val="24"/>
          <w:u w:val="single"/>
        </w:rPr>
        <w:t xml:space="preserve"> </w:t>
      </w:r>
      <w:r>
        <w:rPr>
          <w:rFonts w:hint="eastAsia"/>
          <w:sz w:val="24"/>
          <w:szCs w:val="24"/>
          <w:u w:val="single"/>
        </w:rPr>
        <w:t>1</w:t>
      </w:r>
      <w:r>
        <w:rPr>
          <w:sz w:val="24"/>
          <w:szCs w:val="24"/>
        </w:rPr>
        <w:t>个，组织培训</w:t>
      </w:r>
      <w:r>
        <w:rPr>
          <w:sz w:val="24"/>
          <w:szCs w:val="24"/>
          <w:u w:val="single"/>
        </w:rPr>
        <w:t xml:space="preserve"> </w:t>
      </w:r>
      <w:r>
        <w:rPr>
          <w:rFonts w:hint="eastAsia"/>
          <w:sz w:val="24"/>
          <w:szCs w:val="24"/>
          <w:u w:val="single"/>
        </w:rPr>
        <w:t>2</w:t>
      </w:r>
      <w:r>
        <w:rPr>
          <w:sz w:val="24"/>
          <w:szCs w:val="24"/>
          <w:u w:val="single"/>
        </w:rPr>
        <w:t xml:space="preserve"> </w:t>
      </w:r>
      <w:r>
        <w:rPr>
          <w:sz w:val="24"/>
          <w:szCs w:val="24"/>
        </w:rPr>
        <w:t>人次。</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十、政府采购支出决算情况说明</w:t>
      </w:r>
    </w:p>
    <w:p>
      <w:pPr>
        <w:spacing w:line="550" w:lineRule="exact"/>
        <w:ind w:firstLine="480" w:firstLineChars="200"/>
        <w:rPr>
          <w:sz w:val="24"/>
          <w:szCs w:val="24"/>
        </w:rPr>
      </w:pPr>
      <w:r>
        <w:rPr>
          <w:sz w:val="24"/>
          <w:szCs w:val="24"/>
        </w:rPr>
        <w:t>2018年度政府采购支出总额</w:t>
      </w:r>
      <w:r>
        <w:rPr>
          <w:rFonts w:hint="eastAsia"/>
          <w:sz w:val="24"/>
          <w:szCs w:val="24"/>
          <w:u w:val="single"/>
        </w:rPr>
        <w:t>135.23</w:t>
      </w:r>
      <w:r>
        <w:rPr>
          <w:sz w:val="24"/>
          <w:szCs w:val="24"/>
        </w:rPr>
        <w:t>万元，其中：政府采购货物支出</w:t>
      </w:r>
      <w:r>
        <w:rPr>
          <w:rFonts w:hint="eastAsia"/>
          <w:sz w:val="24"/>
          <w:szCs w:val="24"/>
          <w:u w:val="single"/>
        </w:rPr>
        <w:t>26.24</w:t>
      </w:r>
      <w:r>
        <w:rPr>
          <w:sz w:val="24"/>
          <w:szCs w:val="24"/>
          <w:u w:val="single"/>
        </w:rPr>
        <w:t xml:space="preserve"> </w:t>
      </w:r>
      <w:r>
        <w:rPr>
          <w:sz w:val="24"/>
          <w:szCs w:val="24"/>
        </w:rPr>
        <w:t>万元、政府采购工程支出</w:t>
      </w:r>
      <w:r>
        <w:rPr>
          <w:rFonts w:hint="eastAsia"/>
          <w:sz w:val="24"/>
          <w:szCs w:val="24"/>
          <w:u w:val="single"/>
        </w:rPr>
        <w:t>22.99</w:t>
      </w:r>
      <w:r>
        <w:rPr>
          <w:sz w:val="24"/>
          <w:szCs w:val="24"/>
          <w:u w:val="single"/>
        </w:rPr>
        <w:t xml:space="preserve"> </w:t>
      </w:r>
      <w:r>
        <w:rPr>
          <w:sz w:val="24"/>
          <w:szCs w:val="24"/>
        </w:rPr>
        <w:t>万元、政府采购服务支出</w:t>
      </w:r>
      <w:r>
        <w:rPr>
          <w:rFonts w:hint="eastAsia"/>
          <w:sz w:val="24"/>
          <w:szCs w:val="24"/>
          <w:u w:val="single"/>
        </w:rPr>
        <w:t>86</w:t>
      </w:r>
      <w:r>
        <w:rPr>
          <w:sz w:val="24"/>
          <w:szCs w:val="24"/>
          <w:u w:val="single"/>
        </w:rPr>
        <w:t xml:space="preserve"> </w:t>
      </w:r>
      <w:r>
        <w:rPr>
          <w:sz w:val="24"/>
          <w:szCs w:val="24"/>
        </w:rPr>
        <w:t>万元。</w:t>
      </w:r>
    </w:p>
    <w:p>
      <w:pPr>
        <w:spacing w:line="550" w:lineRule="exact"/>
        <w:ind w:firstLine="480" w:firstLineChars="200"/>
        <w:rPr>
          <w:rFonts w:ascii="方正黑体_GBK" w:eastAsia="方正黑体_GBK"/>
          <w:sz w:val="24"/>
          <w:szCs w:val="24"/>
        </w:rPr>
      </w:pPr>
      <w:r>
        <w:rPr>
          <w:rFonts w:ascii="方正黑体_GBK" w:eastAsia="方正黑体_GBK"/>
          <w:sz w:val="24"/>
          <w:szCs w:val="24"/>
        </w:rPr>
        <w:t>十</w:t>
      </w:r>
      <w:r>
        <w:rPr>
          <w:rFonts w:hint="eastAsia" w:ascii="方正黑体_GBK" w:eastAsia="方正黑体_GBK"/>
          <w:sz w:val="24"/>
          <w:szCs w:val="24"/>
        </w:rPr>
        <w:t>一</w:t>
      </w:r>
      <w:r>
        <w:rPr>
          <w:rFonts w:ascii="方正黑体_GBK" w:eastAsia="方正黑体_GBK"/>
          <w:sz w:val="24"/>
          <w:szCs w:val="24"/>
        </w:rPr>
        <w:t>、国有资产占用情况</w:t>
      </w:r>
    </w:p>
    <w:p>
      <w:pPr>
        <w:spacing w:line="550" w:lineRule="exact"/>
        <w:ind w:firstLine="480" w:firstLineChars="200"/>
        <w:rPr>
          <w:sz w:val="24"/>
          <w:szCs w:val="24"/>
        </w:rPr>
      </w:pPr>
      <w:r>
        <w:rPr>
          <w:sz w:val="24"/>
          <w:szCs w:val="24"/>
        </w:rPr>
        <w:t>截至2018年12月31日，本部门共有车辆</w:t>
      </w:r>
      <w:r>
        <w:rPr>
          <w:rFonts w:hint="eastAsia"/>
          <w:sz w:val="24"/>
          <w:szCs w:val="24"/>
          <w:u w:val="single"/>
        </w:rPr>
        <w:t>1</w:t>
      </w:r>
      <w:r>
        <w:rPr>
          <w:sz w:val="24"/>
          <w:szCs w:val="24"/>
        </w:rPr>
        <w:t>辆，其中其他用车</w:t>
      </w:r>
      <w:r>
        <w:rPr>
          <w:rFonts w:hint="eastAsia"/>
          <w:sz w:val="24"/>
          <w:szCs w:val="24"/>
          <w:u w:val="single"/>
        </w:rPr>
        <w:t>1</w:t>
      </w:r>
      <w:r>
        <w:rPr>
          <w:sz w:val="24"/>
          <w:szCs w:val="24"/>
        </w:rPr>
        <w:t>辆，其他用车主要是</w:t>
      </w:r>
      <w:r>
        <w:rPr>
          <w:rFonts w:hint="eastAsia"/>
          <w:sz w:val="24"/>
          <w:szCs w:val="24"/>
        </w:rPr>
        <w:t>单位公事用车</w:t>
      </w:r>
      <w:r>
        <w:rPr>
          <w:sz w:val="24"/>
          <w:szCs w:val="24"/>
        </w:rPr>
        <w:t>；单</w:t>
      </w:r>
      <w:r>
        <w:rPr>
          <w:rFonts w:hint="eastAsia"/>
          <w:sz w:val="24"/>
          <w:szCs w:val="24"/>
        </w:rPr>
        <w:t>价50万元</w:t>
      </w:r>
      <w:r>
        <w:rPr>
          <w:sz w:val="24"/>
          <w:szCs w:val="24"/>
        </w:rPr>
        <w:t>（含）以上的通用设备</w:t>
      </w:r>
      <w:r>
        <w:rPr>
          <w:rFonts w:hint="eastAsia"/>
          <w:sz w:val="24"/>
          <w:szCs w:val="24"/>
          <w:u w:val="single"/>
        </w:rPr>
        <w:t>1</w:t>
      </w:r>
      <w:r>
        <w:rPr>
          <w:sz w:val="24"/>
          <w:szCs w:val="24"/>
        </w:rPr>
        <w:t>台（套）。</w:t>
      </w:r>
    </w:p>
    <w:p>
      <w:pPr>
        <w:spacing w:before="100" w:beforeAutospacing="1" w:after="100" w:afterAutospacing="1" w:line="550" w:lineRule="exact"/>
        <w:jc w:val="center"/>
        <w:rPr>
          <w:rFonts w:eastAsia="方正小标宋_GBK"/>
          <w:sz w:val="36"/>
          <w:szCs w:val="36"/>
        </w:rPr>
      </w:pPr>
      <w:r>
        <w:rPr>
          <w:rFonts w:eastAsia="方正小标宋_GBK"/>
          <w:sz w:val="36"/>
          <w:szCs w:val="36"/>
        </w:rPr>
        <w:t>第四部分　名词解释</w:t>
      </w:r>
    </w:p>
    <w:p>
      <w:pPr>
        <w:spacing w:line="550" w:lineRule="exact"/>
        <w:ind w:firstLine="480" w:firstLineChars="200"/>
        <w:rPr>
          <w:sz w:val="24"/>
          <w:szCs w:val="24"/>
        </w:rPr>
      </w:pPr>
      <w:r>
        <w:rPr>
          <w:rFonts w:ascii="方正黑体_GBK" w:eastAsia="方正黑体_GBK"/>
          <w:sz w:val="24"/>
          <w:szCs w:val="24"/>
        </w:rPr>
        <w:t>一、财政拨款收入：</w:t>
      </w:r>
      <w:r>
        <w:rPr>
          <w:sz w:val="24"/>
          <w:szCs w:val="24"/>
        </w:rPr>
        <w:t>指单位本年度从</w:t>
      </w:r>
      <w:r>
        <w:rPr>
          <w:rFonts w:hint="eastAsia"/>
          <w:sz w:val="24"/>
          <w:szCs w:val="24"/>
        </w:rPr>
        <w:t>同级</w:t>
      </w:r>
      <w:r>
        <w:rPr>
          <w:sz w:val="24"/>
          <w:szCs w:val="24"/>
        </w:rPr>
        <w:t>财政部门取得的财政拨款。</w:t>
      </w:r>
    </w:p>
    <w:p>
      <w:pPr>
        <w:spacing w:line="550" w:lineRule="exact"/>
        <w:ind w:firstLine="480" w:firstLineChars="200"/>
        <w:rPr>
          <w:sz w:val="24"/>
          <w:szCs w:val="24"/>
        </w:rPr>
      </w:pPr>
      <w:r>
        <w:rPr>
          <w:rFonts w:ascii="方正黑体_GBK" w:eastAsia="方正黑体_GBK"/>
          <w:sz w:val="24"/>
          <w:szCs w:val="24"/>
        </w:rPr>
        <w:t>二、上级补助收入：</w:t>
      </w:r>
      <w:r>
        <w:rPr>
          <w:sz w:val="24"/>
          <w:szCs w:val="24"/>
        </w:rPr>
        <w:t>指事业单位从主管部门和上级单位取得的非财政补助收入。</w:t>
      </w:r>
    </w:p>
    <w:p>
      <w:pPr>
        <w:spacing w:line="550" w:lineRule="exact"/>
        <w:ind w:firstLine="480" w:firstLineChars="200"/>
        <w:rPr>
          <w:sz w:val="24"/>
          <w:szCs w:val="24"/>
        </w:rPr>
      </w:pPr>
      <w:r>
        <w:rPr>
          <w:rFonts w:ascii="方正黑体_GBK" w:eastAsia="方正黑体_GBK"/>
          <w:sz w:val="24"/>
          <w:szCs w:val="24"/>
        </w:rPr>
        <w:t>三、事业收入：</w:t>
      </w:r>
      <w:r>
        <w:rPr>
          <w:sz w:val="24"/>
          <w:szCs w:val="24"/>
        </w:rPr>
        <w:t>指事业单位开展专业业务活动及其辅助活动取得的收入，事业单位收到的财政专户实际核拨的教育收费等资金在此反映。</w:t>
      </w:r>
    </w:p>
    <w:p>
      <w:pPr>
        <w:spacing w:line="550" w:lineRule="exact"/>
        <w:ind w:firstLine="480" w:firstLineChars="200"/>
        <w:rPr>
          <w:sz w:val="24"/>
          <w:szCs w:val="24"/>
        </w:rPr>
      </w:pPr>
      <w:r>
        <w:rPr>
          <w:rFonts w:ascii="方正黑体_GBK" w:eastAsia="方正黑体_GBK"/>
          <w:sz w:val="24"/>
          <w:szCs w:val="24"/>
        </w:rPr>
        <w:t>四、经营收入：</w:t>
      </w:r>
      <w:r>
        <w:rPr>
          <w:sz w:val="24"/>
          <w:szCs w:val="24"/>
        </w:rPr>
        <w:t>指事业单位在专业业务活动及其辅助活动之外开展非独立核算经营活动取得的收入。</w:t>
      </w:r>
    </w:p>
    <w:p>
      <w:pPr>
        <w:spacing w:line="550" w:lineRule="exact"/>
        <w:ind w:firstLine="480" w:firstLineChars="200"/>
        <w:rPr>
          <w:sz w:val="24"/>
          <w:szCs w:val="24"/>
        </w:rPr>
      </w:pPr>
      <w:r>
        <w:rPr>
          <w:rFonts w:ascii="方正黑体_GBK" w:eastAsia="方正黑体_GBK"/>
          <w:sz w:val="24"/>
          <w:szCs w:val="24"/>
        </w:rPr>
        <w:t>五、附属单位缴款：</w:t>
      </w:r>
      <w:r>
        <w:rPr>
          <w:sz w:val="24"/>
          <w:szCs w:val="24"/>
        </w:rPr>
        <w:t>指事业单位附属独立核算单位按照有关规定上缴的收入。</w:t>
      </w:r>
    </w:p>
    <w:p>
      <w:pPr>
        <w:spacing w:line="550" w:lineRule="exact"/>
        <w:ind w:firstLine="480" w:firstLineChars="200"/>
        <w:rPr>
          <w:sz w:val="24"/>
          <w:szCs w:val="24"/>
        </w:rPr>
      </w:pPr>
      <w:r>
        <w:rPr>
          <w:rFonts w:ascii="方正黑体_GBK" w:eastAsia="方正黑体_GBK"/>
          <w:sz w:val="24"/>
          <w:szCs w:val="24"/>
        </w:rPr>
        <w:t>六、其他收入：</w:t>
      </w:r>
      <w:r>
        <w:rPr>
          <w:sz w:val="24"/>
          <w:szCs w:val="24"/>
        </w:rPr>
        <w:t>指单位取得的除上述“财政拨款收入”、“事业收入”、“经营收入”等以外的各项收入。</w:t>
      </w:r>
    </w:p>
    <w:p>
      <w:pPr>
        <w:spacing w:line="550" w:lineRule="exact"/>
        <w:ind w:firstLine="480" w:firstLineChars="200"/>
        <w:rPr>
          <w:sz w:val="24"/>
          <w:szCs w:val="24"/>
        </w:rPr>
      </w:pPr>
      <w:r>
        <w:rPr>
          <w:rFonts w:ascii="方正黑体_GBK" w:eastAsia="方正黑体_GBK"/>
          <w:sz w:val="24"/>
          <w:szCs w:val="24"/>
        </w:rPr>
        <w:t>七、用事业基金弥补收支差额：</w:t>
      </w:r>
      <w:r>
        <w:rPr>
          <w:sz w:val="24"/>
          <w:szCs w:val="24"/>
        </w:rPr>
        <w:t>指事业单位用事业基金弥补当年收支差额的数额。</w:t>
      </w:r>
    </w:p>
    <w:p>
      <w:pPr>
        <w:spacing w:line="550" w:lineRule="exact"/>
        <w:ind w:firstLine="480" w:firstLineChars="200"/>
        <w:rPr>
          <w:sz w:val="24"/>
          <w:szCs w:val="24"/>
        </w:rPr>
      </w:pPr>
      <w:r>
        <w:rPr>
          <w:rFonts w:ascii="方正黑体_GBK" w:eastAsia="方正黑体_GBK"/>
          <w:sz w:val="24"/>
          <w:szCs w:val="24"/>
        </w:rPr>
        <w:t>八、年初结转和结余：</w:t>
      </w:r>
      <w:r>
        <w:rPr>
          <w:sz w:val="24"/>
          <w:szCs w:val="24"/>
        </w:rPr>
        <w:t>指单位上年结转本年使用的基本支出结转、项目支出结转和结余和经营结余。</w:t>
      </w:r>
    </w:p>
    <w:p>
      <w:pPr>
        <w:spacing w:line="550" w:lineRule="exact"/>
        <w:ind w:firstLine="480" w:firstLineChars="200"/>
        <w:rPr>
          <w:sz w:val="24"/>
          <w:szCs w:val="24"/>
        </w:rPr>
      </w:pPr>
      <w:r>
        <w:rPr>
          <w:rFonts w:hint="eastAsia" w:ascii="方正黑体_GBK" w:eastAsia="方正黑体_GBK"/>
          <w:sz w:val="24"/>
          <w:szCs w:val="24"/>
        </w:rPr>
        <w:t>九</w:t>
      </w:r>
      <w:r>
        <w:rPr>
          <w:rFonts w:ascii="方正黑体_GBK" w:eastAsia="方正黑体_GBK"/>
          <w:sz w:val="24"/>
          <w:szCs w:val="24"/>
        </w:rPr>
        <w:t>、结余分配：</w:t>
      </w:r>
      <w:r>
        <w:rPr>
          <w:sz w:val="24"/>
          <w:szCs w:val="24"/>
        </w:rPr>
        <w:t>指事业单位按规定对非财政补助结余资金提取的职工福利基金、事业基金和缴纳的所得税，以及减少单位按规定应缴回的基本建设竣工项目结余资金。</w:t>
      </w:r>
    </w:p>
    <w:p>
      <w:pPr>
        <w:spacing w:line="550" w:lineRule="exact"/>
        <w:ind w:firstLine="480" w:firstLineChars="200"/>
        <w:rPr>
          <w:sz w:val="24"/>
          <w:szCs w:val="24"/>
        </w:rPr>
      </w:pPr>
      <w:r>
        <w:rPr>
          <w:rFonts w:ascii="方正黑体_GBK" w:eastAsia="方正黑体_GBK"/>
          <w:sz w:val="24"/>
          <w:szCs w:val="24"/>
        </w:rPr>
        <w:t>十、年末结转和结余资金：</w:t>
      </w:r>
      <w:r>
        <w:rPr>
          <w:sz w:val="24"/>
          <w:szCs w:val="24"/>
        </w:rPr>
        <w:t>指本年度或以前年度预算安排、因客观条件发生变化无法按原计划实施，需要延迟到以后年度按有关规定继续使用的资金。</w:t>
      </w:r>
    </w:p>
    <w:p>
      <w:pPr>
        <w:spacing w:line="550" w:lineRule="exact"/>
        <w:ind w:firstLine="480" w:firstLineChars="200"/>
        <w:rPr>
          <w:sz w:val="24"/>
          <w:szCs w:val="24"/>
        </w:rPr>
      </w:pPr>
      <w:r>
        <w:rPr>
          <w:rFonts w:ascii="方正黑体_GBK" w:eastAsia="方正黑体_GBK"/>
          <w:sz w:val="24"/>
          <w:szCs w:val="24"/>
        </w:rPr>
        <w:t>十</w:t>
      </w:r>
      <w:r>
        <w:rPr>
          <w:rFonts w:hint="eastAsia" w:ascii="方正黑体_GBK" w:eastAsia="方正黑体_GBK"/>
          <w:sz w:val="24"/>
          <w:szCs w:val="24"/>
        </w:rPr>
        <w:t>一</w:t>
      </w:r>
      <w:r>
        <w:rPr>
          <w:rFonts w:ascii="方正黑体_GBK" w:eastAsia="方正黑体_GBK"/>
          <w:sz w:val="24"/>
          <w:szCs w:val="24"/>
        </w:rPr>
        <w:t>、基本支出：</w:t>
      </w:r>
      <w:r>
        <w:rPr>
          <w:sz w:val="24"/>
          <w:szCs w:val="24"/>
        </w:rPr>
        <w:t>指为保障机构正常运转、完成日常工作任务而发生的人员支出和公用支出。</w:t>
      </w:r>
    </w:p>
    <w:p>
      <w:pPr>
        <w:spacing w:line="550" w:lineRule="exact"/>
        <w:ind w:firstLine="480" w:firstLineChars="200"/>
        <w:rPr>
          <w:sz w:val="24"/>
          <w:szCs w:val="24"/>
        </w:rPr>
      </w:pPr>
      <w:r>
        <w:rPr>
          <w:rFonts w:ascii="方正黑体_GBK" w:eastAsia="方正黑体_GBK"/>
          <w:sz w:val="24"/>
          <w:szCs w:val="24"/>
        </w:rPr>
        <w:t>十</w:t>
      </w:r>
      <w:r>
        <w:rPr>
          <w:rFonts w:hint="eastAsia" w:ascii="方正黑体_GBK" w:eastAsia="方正黑体_GBK"/>
          <w:sz w:val="24"/>
          <w:szCs w:val="24"/>
        </w:rPr>
        <w:t>二</w:t>
      </w:r>
      <w:r>
        <w:rPr>
          <w:rFonts w:ascii="方正黑体_GBK" w:eastAsia="方正黑体_GBK"/>
          <w:sz w:val="24"/>
          <w:szCs w:val="24"/>
        </w:rPr>
        <w:t>、项目支出：</w:t>
      </w:r>
      <w:r>
        <w:rPr>
          <w:sz w:val="24"/>
          <w:szCs w:val="24"/>
        </w:rPr>
        <w:t>指在基本支出之外为完成特定的行政任务或事业发展目标所发生的支出。</w:t>
      </w:r>
    </w:p>
    <w:p>
      <w:pPr>
        <w:spacing w:line="550" w:lineRule="exact"/>
        <w:ind w:firstLine="480" w:firstLineChars="200"/>
        <w:rPr>
          <w:i/>
          <w:sz w:val="24"/>
          <w:szCs w:val="24"/>
        </w:rPr>
      </w:pPr>
      <w:r>
        <w:rPr>
          <w:rFonts w:ascii="方正黑体_GBK" w:eastAsia="方正黑体_GBK"/>
          <w:sz w:val="24"/>
          <w:szCs w:val="24"/>
        </w:rPr>
        <w:t>十</w:t>
      </w:r>
      <w:r>
        <w:rPr>
          <w:rFonts w:hint="eastAsia" w:ascii="方正黑体_GBK" w:eastAsia="方正黑体_GBK"/>
          <w:sz w:val="24"/>
          <w:szCs w:val="24"/>
        </w:rPr>
        <w:t>三</w:t>
      </w:r>
      <w:r>
        <w:rPr>
          <w:rFonts w:ascii="方正黑体_GBK" w:eastAsia="方正黑体_GBK"/>
          <w:sz w:val="24"/>
          <w:szCs w:val="24"/>
        </w:rPr>
        <w:t>、上缴上级支出：</w:t>
      </w:r>
      <w:r>
        <w:rPr>
          <w:sz w:val="24"/>
          <w:szCs w:val="24"/>
        </w:rPr>
        <w:t>指事业单位按照财政部门和主管部门的规定上缴上级单位的支出。</w:t>
      </w:r>
    </w:p>
    <w:p>
      <w:pPr>
        <w:spacing w:line="550" w:lineRule="exact"/>
        <w:ind w:firstLine="480" w:firstLineChars="200"/>
        <w:rPr>
          <w:b/>
          <w:sz w:val="24"/>
          <w:szCs w:val="24"/>
        </w:rPr>
      </w:pPr>
      <w:r>
        <w:rPr>
          <w:rFonts w:ascii="方正黑体_GBK" w:eastAsia="方正黑体_GBK"/>
          <w:sz w:val="24"/>
          <w:szCs w:val="24"/>
        </w:rPr>
        <w:t>十</w:t>
      </w:r>
      <w:r>
        <w:rPr>
          <w:rFonts w:hint="eastAsia" w:ascii="方正黑体_GBK" w:eastAsia="方正黑体_GBK"/>
          <w:sz w:val="24"/>
          <w:szCs w:val="24"/>
        </w:rPr>
        <w:t>四</w:t>
      </w:r>
      <w:r>
        <w:rPr>
          <w:rFonts w:ascii="方正黑体_GBK" w:eastAsia="方正黑体_GBK"/>
          <w:sz w:val="24"/>
          <w:szCs w:val="24"/>
        </w:rPr>
        <w:t>、经营支出：</w:t>
      </w:r>
      <w:r>
        <w:rPr>
          <w:sz w:val="24"/>
          <w:szCs w:val="24"/>
        </w:rPr>
        <w:t>指事业单位在专业业务活动及其辅助活动之外开展非独立核算经营活动发生的支出。</w:t>
      </w:r>
    </w:p>
    <w:p>
      <w:pPr>
        <w:spacing w:line="550" w:lineRule="exact"/>
        <w:ind w:firstLine="480" w:firstLineChars="200"/>
        <w:rPr>
          <w:sz w:val="24"/>
          <w:szCs w:val="24"/>
        </w:rPr>
      </w:pPr>
      <w:r>
        <w:rPr>
          <w:rFonts w:ascii="方正黑体_GBK" w:eastAsia="方正黑体_GBK"/>
          <w:sz w:val="24"/>
          <w:szCs w:val="24"/>
        </w:rPr>
        <w:t>十</w:t>
      </w:r>
      <w:r>
        <w:rPr>
          <w:rFonts w:hint="eastAsia" w:ascii="方正黑体_GBK" w:eastAsia="方正黑体_GBK"/>
          <w:sz w:val="24"/>
          <w:szCs w:val="24"/>
        </w:rPr>
        <w:t>五</w:t>
      </w:r>
      <w:r>
        <w:rPr>
          <w:rFonts w:ascii="方正黑体_GBK" w:eastAsia="方正黑体_GBK"/>
          <w:sz w:val="24"/>
          <w:szCs w:val="24"/>
        </w:rPr>
        <w:t>、对附属单位补助支出：</w:t>
      </w:r>
      <w:r>
        <w:rPr>
          <w:sz w:val="24"/>
          <w:szCs w:val="24"/>
        </w:rPr>
        <w:t>指事业单位用财政补助收入之外的收入对附属单位补助发生的支出。</w:t>
      </w:r>
    </w:p>
    <w:p>
      <w:pPr>
        <w:spacing w:line="550" w:lineRule="exact"/>
        <w:ind w:firstLine="480" w:firstLineChars="200"/>
        <w:rPr>
          <w:b/>
          <w:sz w:val="24"/>
          <w:szCs w:val="24"/>
        </w:rPr>
      </w:pPr>
      <w:r>
        <w:rPr>
          <w:rFonts w:ascii="方正黑体_GBK" w:eastAsia="方正黑体_GBK"/>
          <w:sz w:val="24"/>
          <w:szCs w:val="24"/>
        </w:rPr>
        <w:t>十</w:t>
      </w:r>
      <w:r>
        <w:rPr>
          <w:rFonts w:hint="eastAsia" w:ascii="方正黑体_GBK" w:eastAsia="方正黑体_GBK"/>
          <w:sz w:val="24"/>
          <w:szCs w:val="24"/>
        </w:rPr>
        <w:t>六</w:t>
      </w:r>
      <w:r>
        <w:rPr>
          <w:rFonts w:ascii="方正黑体_GBK" w:eastAsia="方正黑体_GBK"/>
          <w:sz w:val="24"/>
          <w:szCs w:val="24"/>
        </w:rPr>
        <w:t>、“三公”经费：</w:t>
      </w:r>
      <w:r>
        <w:rPr>
          <w:sz w:val="24"/>
          <w:szCs w:val="24"/>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spacing w:line="550" w:lineRule="exact"/>
        <w:ind w:firstLine="480" w:firstLineChars="200"/>
        <w:rPr>
          <w:sz w:val="24"/>
          <w:szCs w:val="24"/>
        </w:rPr>
      </w:pPr>
      <w:r>
        <w:rPr>
          <w:rFonts w:hint="eastAsia" w:ascii="方正黑体_GBK" w:eastAsia="方正黑体_GBK"/>
          <w:sz w:val="24"/>
          <w:szCs w:val="24"/>
        </w:rPr>
        <w:t>十七、机关运行经费：</w:t>
      </w:r>
      <w:r>
        <w:rPr>
          <w:rFonts w:hint="eastAsia"/>
          <w:sz w:val="24"/>
          <w:szCs w:val="24"/>
        </w:rPr>
        <w:t>指行政单位（含参照公务员法管理的事业单位）使用一般公共预算安排的基本支出中的日常</w:t>
      </w:r>
      <w:r>
        <w:rPr>
          <w:sz w:val="24"/>
          <w:szCs w:val="24"/>
        </w:rPr>
        <w:t>公用</w:t>
      </w:r>
      <w:r>
        <w:rPr>
          <w:rFonts w:hint="eastAsia"/>
          <w:sz w:val="24"/>
          <w:szCs w:val="24"/>
        </w:rPr>
        <w:t>经费支出</w:t>
      </w:r>
      <w:r>
        <w:rPr>
          <w:sz w:val="24"/>
          <w:szCs w:val="24"/>
        </w:rPr>
        <w:t>，包括办公及印刷费、邮电费、差旅费、会议费、福利费、日常维修费、专用材料及一般设备购置费、办公用房水电费、办公用房取暖费、办公用房物业管理费、公务用车运行维护费及其他费用。</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66B"/>
    <w:multiLevelType w:val="multilevel"/>
    <w:tmpl w:val="21C5366B"/>
    <w:lvl w:ilvl="0" w:tentative="0">
      <w:start w:val="1"/>
      <w:numFmt w:val="japaneseCounting"/>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4F"/>
    <w:rsid w:val="00046C95"/>
    <w:rsid w:val="00086943"/>
    <w:rsid w:val="00093FD1"/>
    <w:rsid w:val="001131BA"/>
    <w:rsid w:val="00117390"/>
    <w:rsid w:val="00163B3B"/>
    <w:rsid w:val="00181F55"/>
    <w:rsid w:val="001907F5"/>
    <w:rsid w:val="001C4AF9"/>
    <w:rsid w:val="001F407E"/>
    <w:rsid w:val="00253CAA"/>
    <w:rsid w:val="002570A3"/>
    <w:rsid w:val="00262FCE"/>
    <w:rsid w:val="0027160A"/>
    <w:rsid w:val="00274896"/>
    <w:rsid w:val="002A592A"/>
    <w:rsid w:val="002F0162"/>
    <w:rsid w:val="002F6C62"/>
    <w:rsid w:val="00347798"/>
    <w:rsid w:val="00361877"/>
    <w:rsid w:val="003753E5"/>
    <w:rsid w:val="003926E5"/>
    <w:rsid w:val="004121D8"/>
    <w:rsid w:val="0046268B"/>
    <w:rsid w:val="004A661F"/>
    <w:rsid w:val="004B39A3"/>
    <w:rsid w:val="004C6185"/>
    <w:rsid w:val="004F0AFD"/>
    <w:rsid w:val="0051486A"/>
    <w:rsid w:val="005476DE"/>
    <w:rsid w:val="0059394A"/>
    <w:rsid w:val="005C0C83"/>
    <w:rsid w:val="005C1E50"/>
    <w:rsid w:val="005C3CE2"/>
    <w:rsid w:val="00602B39"/>
    <w:rsid w:val="006A3A8E"/>
    <w:rsid w:val="006E5FFD"/>
    <w:rsid w:val="0072345D"/>
    <w:rsid w:val="00731E71"/>
    <w:rsid w:val="00763AE9"/>
    <w:rsid w:val="0079378C"/>
    <w:rsid w:val="008132D2"/>
    <w:rsid w:val="008B08DF"/>
    <w:rsid w:val="008B6911"/>
    <w:rsid w:val="008C4660"/>
    <w:rsid w:val="00906468"/>
    <w:rsid w:val="00906731"/>
    <w:rsid w:val="00930803"/>
    <w:rsid w:val="00A33582"/>
    <w:rsid w:val="00A61CC1"/>
    <w:rsid w:val="00AF181B"/>
    <w:rsid w:val="00B6251D"/>
    <w:rsid w:val="00B811AD"/>
    <w:rsid w:val="00C05EE3"/>
    <w:rsid w:val="00C304E8"/>
    <w:rsid w:val="00C41213"/>
    <w:rsid w:val="00CA3348"/>
    <w:rsid w:val="00CA3FAB"/>
    <w:rsid w:val="00CB7AA2"/>
    <w:rsid w:val="00CD414F"/>
    <w:rsid w:val="00CE2723"/>
    <w:rsid w:val="00D1022D"/>
    <w:rsid w:val="00D14EA0"/>
    <w:rsid w:val="00D25E03"/>
    <w:rsid w:val="00D92A26"/>
    <w:rsid w:val="00DA257C"/>
    <w:rsid w:val="00DB2094"/>
    <w:rsid w:val="00DD5B2B"/>
    <w:rsid w:val="00DE7427"/>
    <w:rsid w:val="00E06168"/>
    <w:rsid w:val="00EA7EBF"/>
    <w:rsid w:val="00EE0F8A"/>
    <w:rsid w:val="00F16CAD"/>
    <w:rsid w:val="00F21E56"/>
    <w:rsid w:val="00F414F3"/>
    <w:rsid w:val="00F52817"/>
    <w:rsid w:val="00F62B47"/>
    <w:rsid w:val="15C701A8"/>
    <w:rsid w:val="16700A7E"/>
    <w:rsid w:val="5EB27B5B"/>
    <w:rsid w:val="762F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rFonts w:ascii="Times New Roman" w:hAnsi="Times New Roman" w:eastAsia="宋体" w:cs="Times New Roman"/>
      <w:sz w:val="18"/>
      <w:szCs w:val="18"/>
    </w:rPr>
  </w:style>
  <w:style w:type="paragraph" w:styleId="3">
    <w:name w:val="footer"/>
    <w:basedOn w:val="1"/>
    <w:link w:val="13"/>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0"/>
  </w:style>
  <w:style w:type="paragraph" w:styleId="9">
    <w:name w:val="List Paragraph"/>
    <w:basedOn w:val="1"/>
    <w:qFormat/>
    <w:uiPriority w:val="34"/>
    <w:pPr>
      <w:ind w:firstLine="420" w:firstLineChars="200"/>
    </w:pPr>
    <w:rPr>
      <w:rFonts w:ascii="Cambria" w:hAnsi="Cambria" w:eastAsia="宋体" w:cs="Times New Roman"/>
      <w:sz w:val="24"/>
      <w:szCs w:val="24"/>
    </w:rPr>
  </w:style>
  <w:style w:type="paragraph" w:customStyle="1" w:styleId="10">
    <w:name w:val="标题1"/>
    <w:basedOn w:val="1"/>
    <w:next w:val="1"/>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1">
    <w:name w:val="附件栏"/>
    <w:basedOn w:val="1"/>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2">
    <w:name w:val="页眉 Char"/>
    <w:basedOn w:val="7"/>
    <w:link w:val="4"/>
    <w:uiPriority w:val="99"/>
    <w:rPr>
      <w:rFonts w:ascii="Times New Roman" w:hAnsi="Times New Roman" w:eastAsia="宋体" w:cs="Times New Roman"/>
      <w:sz w:val="18"/>
      <w:szCs w:val="18"/>
    </w:rPr>
  </w:style>
  <w:style w:type="character" w:customStyle="1" w:styleId="13">
    <w:name w:val="页脚 Char"/>
    <w:basedOn w:val="7"/>
    <w:link w:val="3"/>
    <w:uiPriority w:val="99"/>
    <w:rPr>
      <w:rFonts w:ascii="Times New Roman" w:hAnsi="Times New Roman" w:eastAsia="宋体" w:cs="Times New Roman"/>
      <w:sz w:val="18"/>
      <w:szCs w:val="18"/>
    </w:rPr>
  </w:style>
  <w:style w:type="character" w:customStyle="1" w:styleId="14">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1847</Words>
  <Characters>10528</Characters>
  <Lines>87</Lines>
  <Paragraphs>24</Paragraphs>
  <TotalTime>307</TotalTime>
  <ScaleCrop>false</ScaleCrop>
  <LinksUpToDate>false</LinksUpToDate>
  <CharactersWithSpaces>12351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2019-08-20T01:08:00Z</dcterms:created>
  <dc:creator>Dell</dc:creator>
  <cp:lastModifiedBy>余雪婷</cp:lastModifiedBy>
  <dcterms:modified xsi:type="dcterms:W3CDTF">2019-08-22T09:44:27Z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